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39" w:rsidRDefault="00422D39" w:rsidP="00422D39">
      <w:pPr>
        <w:pStyle w:val="Heading1"/>
      </w:pPr>
      <w:r>
        <w:t>Original Sample Message from Siemens</w:t>
      </w:r>
    </w:p>
    <w:p w:rsidR="00422D39" w:rsidRDefault="00422D39" w:rsidP="00422D39">
      <w:r w:rsidRPr="00422D39">
        <w:t xml:space="preserve">OBX 1 </w:t>
      </w:r>
      <w:r>
        <w:t>has a</w:t>
      </w:r>
      <w:r w:rsidRPr="00422D39">
        <w:t xml:space="preserve"> quantitative result </w:t>
      </w:r>
      <w:r w:rsidR="00D40B3E">
        <w:t>o</w:t>
      </w:r>
      <w:r w:rsidR="005A3839">
        <w:t>f</w:t>
      </w:r>
      <w:r w:rsidRPr="00422D39">
        <w:t xml:space="preserve"> 16.23 and OBX 2 </w:t>
      </w:r>
      <w:r>
        <w:t>has a</w:t>
      </w:r>
      <w:r w:rsidRPr="00422D39">
        <w:t xml:space="preserve"> qualitative result</w:t>
      </w:r>
      <w:r w:rsidR="005A3839">
        <w:t xml:space="preserve"> of</w:t>
      </w:r>
      <w:r w:rsidRPr="00422D39">
        <w:t xml:space="preserve"> Reactive. OBX1 will have a result aspect as CONC</w:t>
      </w:r>
      <w:r>
        <w:t xml:space="preserve"> </w:t>
      </w:r>
      <w:r w:rsidR="005A3839">
        <w:t xml:space="preserve">(concentration) </w:t>
      </w:r>
      <w:r w:rsidRPr="00422D39">
        <w:t>and OBX2 will have result aspect as INTR</w:t>
      </w:r>
      <w:r>
        <w:t xml:space="preserve"> </w:t>
      </w:r>
      <w:r w:rsidRPr="00422D39">
        <w:t xml:space="preserve">(interpretation). </w:t>
      </w:r>
      <w:r>
        <w:t>One</w:t>
      </w:r>
      <w:r w:rsidRPr="00422D39">
        <w:t xml:space="preserve"> qualitative and one quantitative result </w:t>
      </w:r>
      <w:r>
        <w:t xml:space="preserve">are given, </w:t>
      </w:r>
      <w:r w:rsidRPr="00422D39">
        <w:t>but one result could have more than one quantitative  result aspect (CONC, INDEX ) and more tha</w:t>
      </w:r>
      <w:r w:rsidR="00D40B3E">
        <w:t xml:space="preserve">n one qualitative result aspect </w:t>
      </w:r>
      <w:r>
        <w:t>(Interpretation, Abnormality).</w:t>
      </w:r>
    </w:p>
    <w:p w:rsidR="00422D39" w:rsidRPr="00422D39" w:rsidRDefault="00422D39" w:rsidP="00422D39"/>
    <w:p w:rsidR="00422D39" w:rsidRDefault="00422D39" w:rsidP="00422D39">
      <w:r>
        <w:rPr>
          <w:rFonts w:ascii="Calibri" w:hAnsi="Calibri" w:cs="Calibri"/>
          <w:color w:val="1F497D"/>
          <w:sz w:val="22"/>
          <w:szCs w:val="22"/>
        </w:rPr>
        <w:t>MSH|^~\&amp;|Siemens|Siemens_DX|OM_LAB_ANALYZER_MGR|IHE|20140130180024-0500||OUL^R22^OUL_R22|a0c83394e9414698a882cea33e64ef48|P|2.5.1|||ER|AL||UNICODE UTF-8|||LAB-29^IHE</w:t>
      </w:r>
    </w:p>
    <w:p w:rsidR="00422D39" w:rsidRDefault="00422D39" w:rsidP="00422D39">
      <w:r>
        <w:rPr>
          <w:rFonts w:ascii="Calibri" w:hAnsi="Calibri" w:cs="Calibri"/>
          <w:color w:val="1F497D"/>
          <w:sz w:val="22"/>
          <w:szCs w:val="22"/>
        </w:rPr>
        <w:t>PID|1||1505500^^^^PT||Phillips^Jack^^^^^L||19351125000000|M</w:t>
      </w:r>
    </w:p>
    <w:p w:rsidR="00422D39" w:rsidRDefault="00422D39" w:rsidP="00422D39">
      <w:r>
        <w:rPr>
          <w:rFonts w:ascii="Calibri" w:hAnsi="Calibri" w:cs="Calibri"/>
          <w:color w:val="1F497D"/>
          <w:sz w:val="22"/>
          <w:szCs w:val="22"/>
        </w:rPr>
        <w:t>SPM|1|||SER|||||||P^Patient^LN</w:t>
      </w:r>
    </w:p>
    <w:p w:rsidR="00422D39" w:rsidRDefault="00422D39" w:rsidP="00422D39">
      <w:r>
        <w:rPr>
          <w:rFonts w:ascii="Calibri" w:hAnsi="Calibri" w:cs="Calibri"/>
          <w:color w:val="1F497D"/>
          <w:sz w:val="22"/>
          <w:szCs w:val="22"/>
        </w:rPr>
        <w:t>SAC|||3000</w:t>
      </w:r>
    </w:p>
    <w:p w:rsidR="00422D39" w:rsidRDefault="00422D39" w:rsidP="00422D39">
      <w:r>
        <w:rPr>
          <w:rFonts w:ascii="Calibri" w:hAnsi="Calibri" w:cs="Calibri"/>
          <w:color w:val="1F497D"/>
          <w:sz w:val="22"/>
          <w:szCs w:val="22"/>
        </w:rPr>
        <w:t>OBR|1|1D12BE||2075-0^CHLORIDE^LN</w:t>
      </w:r>
    </w:p>
    <w:p w:rsidR="00422D39" w:rsidRDefault="00422D39" w:rsidP="00422D39">
      <w:r>
        <w:rPr>
          <w:rFonts w:ascii="Calibri" w:hAnsi="Calibri" w:cs="Calibri"/>
          <w:color w:val="1F497D"/>
          <w:sz w:val="22"/>
          <w:szCs w:val="22"/>
        </w:rPr>
        <w:t>ORC|OK||||CM</w:t>
      </w:r>
    </w:p>
    <w:p w:rsidR="00422D39" w:rsidRDefault="00422D39" w:rsidP="00422D39">
      <w:r>
        <w:rPr>
          <w:rFonts w:ascii="Calibri" w:hAnsi="Calibri" w:cs="Calibri"/>
          <w:color w:val="FF0000"/>
          <w:sz w:val="22"/>
          <w:szCs w:val="22"/>
        </w:rPr>
        <w:t>OBX|1|NM|2075-0^CHLORIDE^LN|1.1|16.23|ng/mL^ng/mL^UCUM||NONE|||F|||||siemensinternal^No Review||Centaur^Siemens~13131231212123123^Siemens|20140130180024</w:t>
      </w:r>
    </w:p>
    <w:p w:rsidR="00422D39" w:rsidRDefault="00422D39" w:rsidP="00422D39">
      <w:r>
        <w:rPr>
          <w:rFonts w:ascii="Calibri" w:hAnsi="Calibri" w:cs="Calibri"/>
          <w:color w:val="00B050"/>
          <w:sz w:val="22"/>
          <w:szCs w:val="22"/>
        </w:rPr>
        <w:t>OBX|2|ST|2075-0^CHLORIDE^LN|1.1|Reactive|^UCUM||NONE|||F|||||siemensinternal^No Review||Centaur^Siemens~13131231212123123^Siemens|20140130180024</w:t>
      </w:r>
    </w:p>
    <w:p w:rsidR="00422D39" w:rsidRDefault="00422D39" w:rsidP="00422D39"/>
    <w:p w:rsidR="00422D39" w:rsidRDefault="00D40B3E" w:rsidP="00422D39">
      <w:r>
        <w:t>NOTE:</w:t>
      </w:r>
      <w:r w:rsidR="005A3839">
        <w:t xml:space="preserve"> t</w:t>
      </w:r>
      <w:r w:rsidR="00422D39">
        <w:t xml:space="preserve">his example is incorrect because a LOINC code cannot support both a Quantitative Observation and a Qualitative </w:t>
      </w:r>
      <w:r w:rsidR="005A3839">
        <w:t>Observation</w:t>
      </w:r>
      <w:r w:rsidR="00422D39">
        <w:t>. A unique LOINC code is required for each.</w:t>
      </w:r>
      <w:r w:rsidR="005A3839">
        <w:t xml:space="preserve"> OBX-8 could have been used to report the Interpretation in OBX #1, or the LOINC code for the Qualitative Observation should have been used in OBX #2.</w:t>
      </w:r>
    </w:p>
    <w:p w:rsidR="00422D39" w:rsidRDefault="00422D39" w:rsidP="00422D39"/>
    <w:p w:rsidR="00422D39" w:rsidRDefault="00D40B3E" w:rsidP="00422D39">
      <w:r>
        <w:t>T</w:t>
      </w:r>
      <w:r w:rsidR="00422D39">
        <w:t>he case where vendor-</w:t>
      </w:r>
      <w:r w:rsidR="005A3839">
        <w:t>defined</w:t>
      </w:r>
      <w:r w:rsidR="008565D6">
        <w:t xml:space="preserve"> T</w:t>
      </w:r>
      <w:r w:rsidR="00422D39">
        <w:t>est IDs are used better describes the problem</w:t>
      </w:r>
      <w:r w:rsidR="005A3839">
        <w:t>. To describe this situation</w:t>
      </w:r>
      <w:r w:rsidR="00422D39">
        <w:t>, the coding system will be a vendor defined coding system using the HL7 convention of “99zzz”.</w:t>
      </w:r>
      <w:r w:rsidR="00072661">
        <w:t xml:space="preserve"> For this discussion the following will be assumed:</w:t>
      </w:r>
    </w:p>
    <w:p w:rsidR="00072661" w:rsidRDefault="00072661" w:rsidP="00072661">
      <w:pPr>
        <w:pStyle w:val="ListParagraph"/>
        <w:numPr>
          <w:ilvl w:val="0"/>
          <w:numId w:val="3"/>
        </w:numPr>
      </w:pPr>
      <w:r>
        <w:t xml:space="preserve">Siemens is the vendor, and </w:t>
      </w:r>
      <w:r w:rsidR="005A3839">
        <w:t>“</w:t>
      </w:r>
      <w:r>
        <w:t>99Siemens</w:t>
      </w:r>
      <w:r w:rsidR="005A3839">
        <w:t>”</w:t>
      </w:r>
      <w:r>
        <w:t xml:space="preserve"> will be used for the vendor defined coding system.</w:t>
      </w:r>
    </w:p>
    <w:p w:rsidR="00072661" w:rsidRDefault="005A3839" w:rsidP="00072661">
      <w:pPr>
        <w:pStyle w:val="ListParagraph"/>
        <w:numPr>
          <w:ilvl w:val="0"/>
          <w:numId w:val="3"/>
        </w:numPr>
      </w:pPr>
      <w:r>
        <w:t>“</w:t>
      </w:r>
      <w:r w:rsidR="00072661">
        <w:t>75</w:t>
      </w:r>
      <w:r>
        <w:t>”</w:t>
      </w:r>
      <w:r w:rsidR="00072661">
        <w:t xml:space="preserve"> is the vendor defined </w:t>
      </w:r>
      <w:r w:rsidR="008565D6">
        <w:t>T</w:t>
      </w:r>
      <w:r w:rsidR="00072661">
        <w:t>est ID for CHLORIDE</w:t>
      </w:r>
    </w:p>
    <w:p w:rsidR="00072661" w:rsidRDefault="00072661" w:rsidP="00072661">
      <w:pPr>
        <w:pStyle w:val="ListParagraph"/>
        <w:numPr>
          <w:ilvl w:val="0"/>
          <w:numId w:val="3"/>
        </w:numPr>
      </w:pPr>
      <w:r>
        <w:t>CONC, ITRP, and INDEX numerical values will be reported</w:t>
      </w:r>
    </w:p>
    <w:p w:rsidR="00072661" w:rsidRPr="00422D39" w:rsidRDefault="00072661" w:rsidP="00072661">
      <w:pPr>
        <w:pStyle w:val="ListParagraph"/>
        <w:numPr>
          <w:ilvl w:val="0"/>
          <w:numId w:val="3"/>
        </w:numPr>
      </w:pPr>
      <w:r>
        <w:t>INDEX is assumed to be a raw observation value.</w:t>
      </w:r>
    </w:p>
    <w:p w:rsidR="00374BBC" w:rsidRDefault="009C0CC5"/>
    <w:p w:rsidR="00072661" w:rsidRDefault="00072661">
      <w:r>
        <w:t xml:space="preserve">The example was modified as follows, </w:t>
      </w:r>
      <w:r w:rsidR="000431AA">
        <w:t xml:space="preserve">including correcting the use of </w:t>
      </w:r>
      <w:r>
        <w:t xml:space="preserve">OBX-4 as the run number and </w:t>
      </w:r>
      <w:r w:rsidR="008565D6">
        <w:t xml:space="preserve">correcting the </w:t>
      </w:r>
      <w:r>
        <w:t>units</w:t>
      </w:r>
      <w:r w:rsidR="008565D6">
        <w:t xml:space="preserve"> in OBX-6</w:t>
      </w:r>
      <w:r>
        <w:t>.</w:t>
      </w:r>
    </w:p>
    <w:p w:rsidR="00072661" w:rsidRDefault="00072661"/>
    <w:p w:rsidR="00072661" w:rsidRDefault="00072661" w:rsidP="00072661">
      <w:r>
        <w:rPr>
          <w:rFonts w:ascii="Calibri" w:hAnsi="Calibri" w:cs="Calibri"/>
          <w:color w:val="4F81BD"/>
          <w:sz w:val="22"/>
          <w:szCs w:val="22"/>
        </w:rPr>
        <w:lastRenderedPageBreak/>
        <w:t>MSH|^~\&amp;|Siemens|Siemens_DX|OM_LAB_ANALYZER_MGR|IHE|20140130180024-0500||OUL^R22^OUL_R22|a0c83394e9414698a882cea33e64ef48|P|2.5.1|||ER|AL||UNICODE UTF-8|||LAB-29^IHE</w:t>
      </w:r>
    </w:p>
    <w:p w:rsidR="00072661" w:rsidRDefault="00072661" w:rsidP="00072661">
      <w:r>
        <w:rPr>
          <w:rFonts w:ascii="Calibri" w:hAnsi="Calibri" w:cs="Calibri"/>
          <w:color w:val="4F81BD"/>
          <w:sz w:val="22"/>
          <w:szCs w:val="22"/>
        </w:rPr>
        <w:t>PID|1||1505500^^^^PT||Phillips^Jack^^^^^L||19351125000000|M</w:t>
      </w:r>
    </w:p>
    <w:p w:rsidR="00072661" w:rsidRDefault="00072661" w:rsidP="00072661">
      <w:r>
        <w:rPr>
          <w:rFonts w:ascii="Calibri" w:hAnsi="Calibri" w:cs="Calibri"/>
          <w:color w:val="4F81BD"/>
          <w:sz w:val="22"/>
          <w:szCs w:val="22"/>
        </w:rPr>
        <w:t>SPM|1|||SER|||||||P^Patient^LN</w:t>
      </w:r>
    </w:p>
    <w:p w:rsidR="00072661" w:rsidRDefault="00072661" w:rsidP="00072661">
      <w:r>
        <w:rPr>
          <w:rFonts w:ascii="Calibri" w:hAnsi="Calibri" w:cs="Calibri"/>
          <w:color w:val="4F81BD"/>
          <w:sz w:val="22"/>
          <w:szCs w:val="22"/>
        </w:rPr>
        <w:t>SAC|||3000</w:t>
      </w:r>
    </w:p>
    <w:p w:rsidR="00072661" w:rsidRDefault="00072661" w:rsidP="00072661">
      <w:r>
        <w:rPr>
          <w:rFonts w:ascii="Calibri" w:hAnsi="Calibri" w:cs="Calibri"/>
          <w:color w:val="4F81BD"/>
          <w:sz w:val="22"/>
          <w:szCs w:val="22"/>
        </w:rPr>
        <w:t>OBR|1|1D12BE||75^CHLORIDE^99Siemens</w:t>
      </w:r>
    </w:p>
    <w:p w:rsidR="00072661" w:rsidRDefault="00072661" w:rsidP="00072661">
      <w:r>
        <w:rPr>
          <w:rFonts w:ascii="Calibri" w:hAnsi="Calibri" w:cs="Calibri"/>
          <w:color w:val="4F81BD"/>
          <w:sz w:val="22"/>
          <w:szCs w:val="22"/>
        </w:rPr>
        <w:t>ORC|OK||||CM</w:t>
      </w:r>
    </w:p>
    <w:p w:rsidR="00072661" w:rsidRPr="000431AA" w:rsidRDefault="00072661" w:rsidP="00072661">
      <w:pPr>
        <w:rPr>
          <w:color w:val="002060"/>
        </w:rPr>
      </w:pPr>
      <w:r w:rsidRPr="000431AA">
        <w:rPr>
          <w:rFonts w:ascii="Calibri" w:hAnsi="Calibri" w:cs="Calibri"/>
          <w:color w:val="002060"/>
          <w:sz w:val="22"/>
          <w:szCs w:val="22"/>
        </w:rPr>
        <w:t>OBX|1|NM|75^CHLORIDE^99Siemens|1|16.23|ng/mL^ng/mL^UCUM||NONE|||F|||||siemensinternal^No Review||Centaur^Siemens~13131231212123123^Siemens|20140130180024</w:t>
      </w:r>
    </w:p>
    <w:p w:rsidR="00072661" w:rsidRDefault="00072661" w:rsidP="00072661">
      <w:r>
        <w:rPr>
          <w:rFonts w:ascii="Calibri" w:hAnsi="Calibri" w:cs="Calibri"/>
          <w:color w:val="00B050"/>
          <w:sz w:val="22"/>
          <w:szCs w:val="22"/>
        </w:rPr>
        <w:t>OBX|2|ST|75^CHLORIDE^99Siemens|1|Reactive|||NONE|||F|||||siemensinternal^No Review||Centaur^Siemens~13131231212123123^Siemens|20140130180024</w:t>
      </w:r>
    </w:p>
    <w:p w:rsidR="00072661" w:rsidRDefault="00072661" w:rsidP="00072661">
      <w:r>
        <w:rPr>
          <w:rFonts w:ascii="Calibri" w:hAnsi="Calibri" w:cs="Calibri"/>
          <w:color w:val="C00000"/>
          <w:sz w:val="22"/>
          <w:szCs w:val="22"/>
        </w:rPr>
        <w:t>OBX|3|NM|75^CHLORIDE^99Siemens^S_RAW^Raw Supplemental^IHELAW|1|12000|^UCUM||NONE|||F|||||siemensinternal^No Review||Centaur^Siemens~13131231212123123^Siemens|20140130180024</w:t>
      </w:r>
    </w:p>
    <w:p w:rsidR="00072661" w:rsidRDefault="00072661"/>
    <w:p w:rsidR="000431AA" w:rsidRDefault="008565D6">
      <w:r>
        <w:t>I</w:t>
      </w:r>
      <w:r w:rsidR="000431AA">
        <w:t xml:space="preserve">n the example there is no </w:t>
      </w:r>
      <w:r>
        <w:t xml:space="preserve">clear </w:t>
      </w:r>
      <w:r w:rsidR="000431AA">
        <w:t xml:space="preserve">guidance on how to treat OBX #2. </w:t>
      </w:r>
      <w:r>
        <w:t xml:space="preserve">LAW currently recommends the use of Result Fragments, but this only implies that the OBX with the ST data type is to be viewed as an interpretation. </w:t>
      </w:r>
      <w:r w:rsidR="000431AA">
        <w:t xml:space="preserve">The IHE LAB committee did not feel comfortable with the use of </w:t>
      </w:r>
      <w:r>
        <w:t>Result F</w:t>
      </w:r>
      <w:r w:rsidR="000431AA">
        <w:t>ragments</w:t>
      </w:r>
      <w:r>
        <w:t xml:space="preserve"> in this manner. It was decided that the OBX 3 identifier should clearly define what type of observation is provided, and unique OBX-3 identifiers should be used in each OBX in the above example.</w:t>
      </w:r>
    </w:p>
    <w:p w:rsidR="000431AA" w:rsidRDefault="000431AA" w:rsidP="000431AA">
      <w:pPr>
        <w:pStyle w:val="Heading1"/>
      </w:pPr>
      <w:r>
        <w:t>Observation Types</w:t>
      </w:r>
    </w:p>
    <w:p w:rsidR="0089667F" w:rsidRDefault="000431AA">
      <w:r>
        <w:t>The following types of observations were identified</w:t>
      </w:r>
      <w:r w:rsidR="008565D6">
        <w:t xml:space="preserve"> as part of the discussion</w:t>
      </w:r>
      <w:r>
        <w:t>:</w:t>
      </w:r>
    </w:p>
    <w:p w:rsidR="008565D6" w:rsidRDefault="008565D6"/>
    <w:p w:rsidR="0089667F" w:rsidRDefault="0089667F" w:rsidP="0089667F">
      <w:pPr>
        <w:pStyle w:val="ListParagraph"/>
        <w:numPr>
          <w:ilvl w:val="0"/>
          <w:numId w:val="2"/>
        </w:numPr>
      </w:pPr>
      <w:r>
        <w:t>Qualitative</w:t>
      </w:r>
    </w:p>
    <w:p w:rsidR="00B31643" w:rsidRDefault="00B31643" w:rsidP="00B31643">
      <w:pPr>
        <w:pStyle w:val="ListParagraph"/>
        <w:numPr>
          <w:ilvl w:val="1"/>
          <w:numId w:val="2"/>
        </w:numPr>
      </w:pPr>
      <w:r>
        <w:t>Interpretation (CE OBX-5), (Interpretation Cod</w:t>
      </w:r>
      <w:r w:rsidR="000431AA">
        <w:t>e OBX-8) – Ordinal, plus others</w:t>
      </w:r>
    </w:p>
    <w:p w:rsidR="00B31643" w:rsidRDefault="001722B0" w:rsidP="00B31643">
      <w:pPr>
        <w:pStyle w:val="ListParagraph"/>
        <w:numPr>
          <w:ilvl w:val="1"/>
          <w:numId w:val="2"/>
        </w:numPr>
      </w:pPr>
      <w:r>
        <w:t xml:space="preserve">Coded Elements (CE </w:t>
      </w:r>
      <w:r w:rsidR="00B31643">
        <w:t xml:space="preserve">OBX-5) </w:t>
      </w:r>
      <w:r w:rsidR="00A76F12">
        <w:t>–</w:t>
      </w:r>
      <w:r w:rsidR="00B31643">
        <w:t xml:space="preserve"> Nominal</w:t>
      </w:r>
      <w:r w:rsidR="00A76F12">
        <w:t xml:space="preserve"> or Ordinal</w:t>
      </w:r>
    </w:p>
    <w:p w:rsidR="0089667F" w:rsidRDefault="0089667F" w:rsidP="0089667F">
      <w:pPr>
        <w:pStyle w:val="ListParagraph"/>
        <w:numPr>
          <w:ilvl w:val="0"/>
          <w:numId w:val="2"/>
        </w:numPr>
      </w:pPr>
      <w:r>
        <w:t>Quantitative</w:t>
      </w:r>
      <w:r w:rsidR="00A77C26">
        <w:t xml:space="preserve"> (OBX-5)</w:t>
      </w:r>
      <w:r>
        <w:t xml:space="preserve"> </w:t>
      </w:r>
    </w:p>
    <w:p w:rsidR="0089667F" w:rsidRDefault="0089667F" w:rsidP="00B31643">
      <w:pPr>
        <w:pStyle w:val="ListParagraph"/>
        <w:numPr>
          <w:ilvl w:val="1"/>
          <w:numId w:val="2"/>
        </w:numPr>
      </w:pPr>
      <w:r>
        <w:t>Numeric</w:t>
      </w:r>
      <w:r w:rsidR="00A77C26">
        <w:t xml:space="preserve"> (NM)</w:t>
      </w:r>
      <w:r>
        <w:t>, Array</w:t>
      </w:r>
      <w:r w:rsidR="00A77C26">
        <w:t xml:space="preserve"> (NA)</w:t>
      </w:r>
      <w:r>
        <w:t>, St</w:t>
      </w:r>
      <w:r w:rsidR="00A77C26">
        <w:t>r</w:t>
      </w:r>
      <w:r>
        <w:t>uctured Numeric</w:t>
      </w:r>
      <w:r w:rsidR="00A77C26">
        <w:t xml:space="preserve"> (SN)</w:t>
      </w:r>
    </w:p>
    <w:p w:rsidR="0089667F" w:rsidRDefault="0089667F" w:rsidP="0089667F">
      <w:pPr>
        <w:pStyle w:val="ListParagraph"/>
        <w:numPr>
          <w:ilvl w:val="0"/>
          <w:numId w:val="2"/>
        </w:numPr>
      </w:pPr>
      <w:r>
        <w:t>Supplemental (LAW Supplemental)</w:t>
      </w:r>
    </w:p>
    <w:p w:rsidR="00A77C26" w:rsidRDefault="00A77C26" w:rsidP="00A77C26">
      <w:pPr>
        <w:pStyle w:val="ListParagraph"/>
        <w:numPr>
          <w:ilvl w:val="1"/>
          <w:numId w:val="2"/>
        </w:numPr>
      </w:pPr>
      <w:r>
        <w:t>Raw</w:t>
      </w:r>
      <w:r w:rsidR="00B31643">
        <w:t xml:space="preserve"> (S_RAW)</w:t>
      </w:r>
    </w:p>
    <w:p w:rsidR="00A77C26" w:rsidRDefault="00B31643" w:rsidP="00A77C26">
      <w:pPr>
        <w:pStyle w:val="ListParagraph"/>
        <w:numPr>
          <w:ilvl w:val="1"/>
          <w:numId w:val="2"/>
        </w:numPr>
      </w:pPr>
      <w:r>
        <w:t>Image (S_IMAGE)</w:t>
      </w:r>
    </w:p>
    <w:p w:rsidR="00A77C26" w:rsidRDefault="00A77C26" w:rsidP="00A77C26">
      <w:pPr>
        <w:pStyle w:val="ListParagraph"/>
        <w:numPr>
          <w:ilvl w:val="1"/>
          <w:numId w:val="2"/>
        </w:numPr>
      </w:pPr>
      <w:r>
        <w:t>Graph</w:t>
      </w:r>
      <w:r w:rsidR="00B31643">
        <w:t xml:space="preserve"> (S_GRAPH)</w:t>
      </w:r>
    </w:p>
    <w:p w:rsidR="0089667F" w:rsidRDefault="00A76F12" w:rsidP="00A76F12">
      <w:pPr>
        <w:pStyle w:val="ListParagraph"/>
        <w:numPr>
          <w:ilvl w:val="0"/>
          <w:numId w:val="2"/>
        </w:numPr>
      </w:pPr>
      <w:r>
        <w:t>Narrative (</w:t>
      </w:r>
      <w:r w:rsidR="001722B0">
        <w:t>OBX-5</w:t>
      </w:r>
      <w:r>
        <w:t>)</w:t>
      </w:r>
    </w:p>
    <w:p w:rsidR="0089667F" w:rsidRDefault="00A76F12" w:rsidP="00A76F12">
      <w:pPr>
        <w:pStyle w:val="ListParagraph"/>
        <w:numPr>
          <w:ilvl w:val="1"/>
          <w:numId w:val="2"/>
        </w:numPr>
      </w:pPr>
      <w:r>
        <w:t>ST (String)</w:t>
      </w:r>
    </w:p>
    <w:p w:rsidR="00A76F12" w:rsidRDefault="000431AA" w:rsidP="000431AA">
      <w:pPr>
        <w:pStyle w:val="Heading1"/>
      </w:pPr>
      <w:r>
        <w:lastRenderedPageBreak/>
        <w:t>Legacy Interfaces</w:t>
      </w:r>
    </w:p>
    <w:p w:rsidR="00A76F12" w:rsidRDefault="00A76F12"/>
    <w:p w:rsidR="00A76F12" w:rsidRDefault="000431AA">
      <w:r>
        <w:t xml:space="preserve">IVD vendors </w:t>
      </w:r>
      <w:r w:rsidR="00D40B3E">
        <w:t xml:space="preserve">often </w:t>
      </w:r>
      <w:r>
        <w:t>have 100’s of c</w:t>
      </w:r>
      <w:r w:rsidR="00A76F12">
        <w:t>odes</w:t>
      </w:r>
      <w:r>
        <w:t xml:space="preserve"> to support, especially IA and CC vendors. In </w:t>
      </w:r>
      <w:r w:rsidR="00D40B3E">
        <w:t xml:space="preserve">legacy </w:t>
      </w:r>
      <w:r>
        <w:t>ASTM interfaces, additional components were often added to the vendor test ID to further describe the result:</w:t>
      </w:r>
    </w:p>
    <w:p w:rsidR="00A76F12" w:rsidRDefault="00A76F12"/>
    <w:p w:rsidR="0089667F" w:rsidRDefault="00A76F12" w:rsidP="000431AA">
      <w:pPr>
        <w:ind w:left="720"/>
      </w:pPr>
      <w:r>
        <w:t>75&amp;F–</w:t>
      </w:r>
      <w:r w:rsidR="0089667F">
        <w:t xml:space="preserve"> </w:t>
      </w:r>
      <w:r>
        <w:t>Numerical</w:t>
      </w:r>
    </w:p>
    <w:p w:rsidR="0089667F" w:rsidRDefault="004E5D27" w:rsidP="000431AA">
      <w:pPr>
        <w:ind w:left="720"/>
      </w:pPr>
      <w:r>
        <w:t>75&amp;I</w:t>
      </w:r>
      <w:r w:rsidR="007270B9">
        <w:t xml:space="preserve"> – </w:t>
      </w:r>
      <w:r w:rsidR="0089667F">
        <w:t>Interpretation</w:t>
      </w:r>
    </w:p>
    <w:p w:rsidR="0089667F" w:rsidRDefault="004E5D27" w:rsidP="000431AA">
      <w:pPr>
        <w:ind w:left="720"/>
      </w:pPr>
      <w:r>
        <w:t>7&amp;P</w:t>
      </w:r>
      <w:r w:rsidR="0089667F">
        <w:t xml:space="preserve"> </w:t>
      </w:r>
      <w:r w:rsidR="00A76F12">
        <w:t>–</w:t>
      </w:r>
      <w:r w:rsidR="0089667F">
        <w:t xml:space="preserve"> Preliminary</w:t>
      </w:r>
      <w:r w:rsidR="00A76F12">
        <w:t xml:space="preserve"> (raw values)</w:t>
      </w:r>
    </w:p>
    <w:p w:rsidR="000431AA" w:rsidRDefault="000431AA" w:rsidP="000431AA">
      <w:pPr>
        <w:ind w:left="720"/>
      </w:pPr>
    </w:p>
    <w:p w:rsidR="000431AA" w:rsidRDefault="000431AA" w:rsidP="000431AA">
      <w:r>
        <w:t xml:space="preserve">In effect, unique </w:t>
      </w:r>
      <w:r w:rsidR="004E5D27">
        <w:t>Universal T</w:t>
      </w:r>
      <w:r>
        <w:t>est IDs were defined for each type of result observation</w:t>
      </w:r>
      <w:r w:rsidR="004E5D27">
        <w:t xml:space="preserve"> by providing additional vendor-defined attributes as subcomponents to distinguish the observations. LIS-2, section 5.6.1 further describes this approach. The following are fragments of an LIS-2 “R” </w:t>
      </w:r>
      <w:r w:rsidR="007270B9">
        <w:t>record using this convention:</w:t>
      </w:r>
    </w:p>
    <w:p w:rsidR="004E5D27" w:rsidRDefault="004E5D27" w:rsidP="000431AA"/>
    <w:p w:rsidR="004E5D27" w:rsidRDefault="004E5D27" w:rsidP="004E5D27">
      <w:pPr>
        <w:pStyle w:val="ListParagraph"/>
        <w:numPr>
          <w:ilvl w:val="0"/>
          <w:numId w:val="4"/>
        </w:numPr>
      </w:pPr>
      <w:r>
        <w:t>R|1|^^^75&amp;F| ….</w:t>
      </w:r>
    </w:p>
    <w:p w:rsidR="004E5D27" w:rsidRDefault="004E5D27" w:rsidP="004E5D27">
      <w:pPr>
        <w:pStyle w:val="ListParagraph"/>
        <w:numPr>
          <w:ilvl w:val="0"/>
          <w:numId w:val="4"/>
        </w:numPr>
      </w:pPr>
      <w:r>
        <w:t>R|2|^^^75&amp;I| ….</w:t>
      </w:r>
    </w:p>
    <w:p w:rsidR="004E5D27" w:rsidRDefault="004E5D27" w:rsidP="004E5D27">
      <w:pPr>
        <w:pStyle w:val="ListParagraph"/>
        <w:numPr>
          <w:ilvl w:val="0"/>
          <w:numId w:val="4"/>
        </w:numPr>
      </w:pPr>
      <w:r>
        <w:t>R|2|^^^75&amp;P| ….</w:t>
      </w:r>
    </w:p>
    <w:p w:rsidR="00422D39" w:rsidRDefault="00422D39"/>
    <w:p w:rsidR="008565D6" w:rsidRDefault="007270B9">
      <w:r>
        <w:t>The committee determined t</w:t>
      </w:r>
      <w:r w:rsidR="008565D6">
        <w:t>his approach to creating unique identifiers by using a common Test ID and a</w:t>
      </w:r>
      <w:r w:rsidR="00D40B3E">
        <w:t>ppending additional components sh</w:t>
      </w:r>
      <w:r w:rsidR="008565D6">
        <w:t>ould be used to construct unique vendor-specific identifiers for the result observations reported with OBX segments.</w:t>
      </w:r>
      <w:r w:rsidR="00D40B3E">
        <w:t xml:space="preserve"> Creating a unique Observation ID aligns for vendor coding systems aligns with the use of unique IDs with the LOINC coding system.</w:t>
      </w:r>
    </w:p>
    <w:p w:rsidR="004E5D27" w:rsidRDefault="004E5D27" w:rsidP="004E5D27">
      <w:pPr>
        <w:pStyle w:val="Heading1"/>
      </w:pPr>
      <w:r>
        <w:t>LAW Approach</w:t>
      </w:r>
    </w:p>
    <w:p w:rsidR="004E5D27" w:rsidRDefault="004E5D27" w:rsidP="004E5D27">
      <w:r>
        <w:t>The committee strongly recommended the following for LAW:</w:t>
      </w:r>
    </w:p>
    <w:p w:rsidR="004E5D27" w:rsidRDefault="004E5D27" w:rsidP="004E5D27">
      <w:pPr>
        <w:pStyle w:val="ListParagraph"/>
        <w:numPr>
          <w:ilvl w:val="0"/>
          <w:numId w:val="5"/>
        </w:numPr>
        <w:spacing w:after="200" w:line="276" w:lineRule="auto"/>
      </w:pPr>
      <w:r>
        <w:t>Different codes must be used in OBX-3 for each observation</w:t>
      </w:r>
      <w:r w:rsidR="007270B9">
        <w:t>. OBX-3 and OBX-4 must be unique across OBXs.</w:t>
      </w:r>
    </w:p>
    <w:p w:rsidR="004E5D27" w:rsidRDefault="004E5D27" w:rsidP="004E5D27">
      <w:pPr>
        <w:pStyle w:val="ListParagraph"/>
        <w:numPr>
          <w:ilvl w:val="1"/>
          <w:numId w:val="5"/>
        </w:numPr>
        <w:spacing w:after="200" w:line="276" w:lineRule="auto"/>
      </w:pPr>
      <w:r>
        <w:t>LOINC already supports unique codes</w:t>
      </w:r>
    </w:p>
    <w:p w:rsidR="004E5D27" w:rsidRDefault="004E5D27" w:rsidP="004E5D27">
      <w:pPr>
        <w:pStyle w:val="ListParagraph"/>
        <w:numPr>
          <w:ilvl w:val="1"/>
          <w:numId w:val="5"/>
        </w:numPr>
        <w:spacing w:after="200" w:line="276" w:lineRule="auto"/>
      </w:pPr>
      <w:r>
        <w:t xml:space="preserve">Vendors should use a suffix for vendor defined codes and discuss </w:t>
      </w:r>
      <w:r w:rsidR="008565D6">
        <w:t xml:space="preserve">these values </w:t>
      </w:r>
      <w:r>
        <w:t>in their implementation guide</w:t>
      </w:r>
    </w:p>
    <w:p w:rsidR="001722B0" w:rsidRDefault="001722B0" w:rsidP="001722B0">
      <w:pPr>
        <w:pStyle w:val="ListParagraph"/>
        <w:numPr>
          <w:ilvl w:val="2"/>
          <w:numId w:val="5"/>
        </w:numPr>
        <w:spacing w:after="200" w:line="276" w:lineRule="auto"/>
      </w:pPr>
      <w:r>
        <w:t>75</w:t>
      </w:r>
      <w:proofErr w:type="gramStart"/>
      <w:r>
        <w:t>.C</w:t>
      </w:r>
      <w:proofErr w:type="gramEnd"/>
      <w:r>
        <w:t>, 75.CONC, 75-2, etc.</w:t>
      </w:r>
    </w:p>
    <w:p w:rsidR="001722B0" w:rsidRDefault="001722B0" w:rsidP="001722B0">
      <w:pPr>
        <w:pStyle w:val="ListParagraph"/>
        <w:numPr>
          <w:ilvl w:val="2"/>
          <w:numId w:val="5"/>
        </w:numPr>
        <w:spacing w:after="200" w:line="276" w:lineRule="auto"/>
      </w:pPr>
      <w:r>
        <w:t xml:space="preserve">Use any separator except those already used as HL7 </w:t>
      </w:r>
      <w:r w:rsidR="00E62149">
        <w:t>delimiters</w:t>
      </w:r>
    </w:p>
    <w:p w:rsidR="00E62149" w:rsidRDefault="00E62149" w:rsidP="001722B0">
      <w:pPr>
        <w:pStyle w:val="ListParagraph"/>
        <w:numPr>
          <w:ilvl w:val="2"/>
          <w:numId w:val="5"/>
        </w:numPr>
        <w:spacing w:after="200" w:line="276" w:lineRule="auto"/>
      </w:pPr>
      <w:r>
        <w:t>Thi</w:t>
      </w:r>
      <w:r w:rsidR="008565D6">
        <w:t xml:space="preserve">s effectively creates a unique </w:t>
      </w:r>
      <w:r w:rsidR="00D40B3E">
        <w:t xml:space="preserve">observation </w:t>
      </w:r>
      <w:r w:rsidR="008565D6">
        <w:t>i</w:t>
      </w:r>
      <w:r w:rsidR="00D40B3E">
        <w:t>dentifier</w:t>
      </w:r>
    </w:p>
    <w:p w:rsidR="008565D6" w:rsidRDefault="008565D6" w:rsidP="001722B0">
      <w:pPr>
        <w:pStyle w:val="ListParagraph"/>
        <w:numPr>
          <w:ilvl w:val="2"/>
          <w:numId w:val="5"/>
        </w:numPr>
        <w:spacing w:after="200" w:line="276" w:lineRule="auto"/>
      </w:pPr>
      <w:r>
        <w:t>This is similar to the approach used in legacy interfaces</w:t>
      </w:r>
    </w:p>
    <w:p w:rsidR="004E5D27" w:rsidRDefault="004E5D27" w:rsidP="004E5D27">
      <w:pPr>
        <w:pStyle w:val="ListParagraph"/>
        <w:numPr>
          <w:ilvl w:val="0"/>
          <w:numId w:val="5"/>
        </w:numPr>
        <w:spacing w:after="200" w:line="276" w:lineRule="auto"/>
      </w:pPr>
      <w:r>
        <w:t xml:space="preserve">OBX-8 is highly recommend for interpretations and flags, as this is the direction for other HL7 </w:t>
      </w:r>
      <w:r w:rsidR="00A07EDB">
        <w:t>implementation guides</w:t>
      </w:r>
    </w:p>
    <w:p w:rsidR="004E5D27" w:rsidRDefault="004E5D27" w:rsidP="004E5D27">
      <w:pPr>
        <w:pStyle w:val="ListParagraph"/>
        <w:numPr>
          <w:ilvl w:val="1"/>
          <w:numId w:val="5"/>
        </w:numPr>
        <w:spacing w:after="200" w:line="276" w:lineRule="auto"/>
      </w:pPr>
      <w:r>
        <w:lastRenderedPageBreak/>
        <w:t>OBX-8 can be extended with vendor codes if necessary, but vendors should att</w:t>
      </w:r>
      <w:r w:rsidR="001722B0">
        <w:t>empt to use the LAW set of codes</w:t>
      </w:r>
    </w:p>
    <w:p w:rsidR="004E5D27" w:rsidRDefault="004E5D27" w:rsidP="004E5D27">
      <w:pPr>
        <w:pStyle w:val="ListParagraph"/>
        <w:numPr>
          <w:ilvl w:val="1"/>
          <w:numId w:val="5"/>
        </w:numPr>
        <w:spacing w:after="200" w:line="276" w:lineRule="auto"/>
      </w:pPr>
      <w:r>
        <w:t>LAW should review the current set of codes, which are a subset of  the codes in HL7</w:t>
      </w:r>
      <w:r w:rsidR="001722B0">
        <w:t xml:space="preserve"> Table </w:t>
      </w:r>
      <w:r>
        <w:t>0078</w:t>
      </w:r>
      <w:r w:rsidR="001722B0">
        <w:t>, to determine if additional codes are necessary</w:t>
      </w:r>
    </w:p>
    <w:p w:rsidR="00A06737" w:rsidRDefault="00A06737" w:rsidP="004E5D27">
      <w:pPr>
        <w:pStyle w:val="ListParagraph"/>
        <w:numPr>
          <w:ilvl w:val="1"/>
          <w:numId w:val="5"/>
        </w:numPr>
        <w:spacing w:after="200" w:line="276" w:lineRule="auto"/>
      </w:pPr>
      <w:r>
        <w:t xml:space="preserve">By using OBX-8, a vendor is following a standard convention for reporting interpretations and also using a standard </w:t>
      </w:r>
      <w:r w:rsidR="007270B9">
        <w:t>vocabulary</w:t>
      </w:r>
      <w:r>
        <w:t xml:space="preserve"> for the interpretation</w:t>
      </w:r>
    </w:p>
    <w:p w:rsidR="001722B0" w:rsidRDefault="005A3839" w:rsidP="004E5D27">
      <w:pPr>
        <w:pStyle w:val="ListParagraph"/>
        <w:numPr>
          <w:ilvl w:val="0"/>
          <w:numId w:val="5"/>
        </w:numPr>
        <w:spacing w:after="200" w:line="276" w:lineRule="auto"/>
      </w:pPr>
      <w:r>
        <w:t>Qualitative results</w:t>
      </w:r>
      <w:r w:rsidR="001722B0">
        <w:t xml:space="preserve"> can be sent in a separate OBX as a string or coded element</w:t>
      </w:r>
    </w:p>
    <w:p w:rsidR="007270B9" w:rsidRDefault="001722B0" w:rsidP="007270B9">
      <w:pPr>
        <w:pStyle w:val="ListParagraph"/>
        <w:numPr>
          <w:ilvl w:val="1"/>
          <w:numId w:val="5"/>
        </w:numPr>
        <w:spacing w:after="200" w:line="276" w:lineRule="auto"/>
      </w:pPr>
      <w:r>
        <w:t>Using an OBX with the ST data type to report an interpretation requires additional coordination with the Analyzer on how to interpret the code</w:t>
      </w:r>
    </w:p>
    <w:p w:rsidR="005A3839" w:rsidRDefault="00E62149" w:rsidP="005A3839">
      <w:pPr>
        <w:pStyle w:val="ListParagraph"/>
        <w:numPr>
          <w:ilvl w:val="1"/>
          <w:numId w:val="5"/>
        </w:numPr>
        <w:spacing w:after="200" w:line="276" w:lineRule="auto"/>
      </w:pPr>
      <w:r>
        <w:t xml:space="preserve">Multiple </w:t>
      </w:r>
      <w:r w:rsidR="005A3839">
        <w:t>qualitative values on</w:t>
      </w:r>
      <w:r w:rsidR="001722B0">
        <w:t xml:space="preserve"> the same run of an AWOS require unique OBX-3 codes</w:t>
      </w:r>
      <w:r w:rsidR="005A3839">
        <w:t xml:space="preserve"> to establish the type if interpretation (e.g. Interpretation, Abnormality observation)</w:t>
      </w:r>
      <w:r w:rsidR="007270B9">
        <w:t>. A suffix must be defined for each type of qualitative observation.</w:t>
      </w:r>
    </w:p>
    <w:p w:rsidR="004E5D27" w:rsidRDefault="005A3839" w:rsidP="001722B0">
      <w:pPr>
        <w:pStyle w:val="ListParagraph"/>
        <w:numPr>
          <w:ilvl w:val="1"/>
          <w:numId w:val="5"/>
        </w:numPr>
        <w:spacing w:after="200" w:line="276" w:lineRule="auto"/>
      </w:pPr>
      <w:r>
        <w:t>When using a string, a non-standard vocabulary is used thus additional coordination between vendors is necessary</w:t>
      </w:r>
    </w:p>
    <w:p w:rsidR="001722B0" w:rsidRDefault="001722B0" w:rsidP="001722B0">
      <w:pPr>
        <w:pStyle w:val="ListParagraph"/>
        <w:numPr>
          <w:ilvl w:val="0"/>
          <w:numId w:val="5"/>
        </w:numPr>
        <w:spacing w:after="200" w:line="276" w:lineRule="auto"/>
      </w:pPr>
      <w:r>
        <w:t>Raw result values should be transmitted following the current LAW guidance for supplemental results</w:t>
      </w:r>
    </w:p>
    <w:p w:rsidR="00E62149" w:rsidRDefault="00E62149" w:rsidP="00E62149">
      <w:pPr>
        <w:pStyle w:val="ListParagraph"/>
        <w:numPr>
          <w:ilvl w:val="1"/>
          <w:numId w:val="5"/>
        </w:numPr>
        <w:spacing w:after="200" w:line="276" w:lineRule="auto"/>
      </w:pPr>
      <w:r>
        <w:t>Each supplemental result also requires a unique OBX-3 value</w:t>
      </w:r>
    </w:p>
    <w:p w:rsidR="00E62149" w:rsidRDefault="00E62149" w:rsidP="005A3839">
      <w:pPr>
        <w:pStyle w:val="ListParagraph"/>
        <w:numPr>
          <w:ilvl w:val="1"/>
          <w:numId w:val="5"/>
        </w:numPr>
        <w:spacing w:after="200" w:line="276" w:lineRule="auto"/>
      </w:pPr>
      <w:r>
        <w:t>The LAW alternate identifier information provides additional guidance on determining the type of supplemental result</w:t>
      </w:r>
      <w:r w:rsidR="00A06737">
        <w:t xml:space="preserve"> that is standard across vendors</w:t>
      </w:r>
    </w:p>
    <w:p w:rsidR="001722B0" w:rsidRDefault="001722B0" w:rsidP="001722B0">
      <w:pPr>
        <w:spacing w:after="200" w:line="276" w:lineRule="auto"/>
      </w:pPr>
      <w:r>
        <w:t>A change proposal will be created for the LAW profile to address these recommendations</w:t>
      </w:r>
      <w:r w:rsidR="00E62149">
        <w:t>, including revising the section on Result Fragments</w:t>
      </w:r>
      <w:r>
        <w:t>.</w:t>
      </w:r>
    </w:p>
    <w:p w:rsidR="001722B0" w:rsidRDefault="001722B0" w:rsidP="00E62149">
      <w:pPr>
        <w:pStyle w:val="Heading1"/>
      </w:pPr>
      <w:r>
        <w:t>Revised Example</w:t>
      </w:r>
      <w:r w:rsidR="00E62149">
        <w:t xml:space="preserve"> #1</w:t>
      </w:r>
    </w:p>
    <w:p w:rsidR="00E62149" w:rsidRDefault="00E62149" w:rsidP="00E62149">
      <w:r>
        <w:t xml:space="preserve">In this example, </w:t>
      </w:r>
    </w:p>
    <w:p w:rsidR="00E62149" w:rsidRDefault="00E62149" w:rsidP="00E62149">
      <w:pPr>
        <w:pStyle w:val="ListParagraph"/>
        <w:numPr>
          <w:ilvl w:val="0"/>
          <w:numId w:val="7"/>
        </w:numPr>
      </w:pPr>
      <w:r>
        <w:t>The interpretation is sent in a separate OBX segment</w:t>
      </w:r>
    </w:p>
    <w:p w:rsidR="00E62149" w:rsidRDefault="00E62149" w:rsidP="00E62149">
      <w:pPr>
        <w:pStyle w:val="ListParagraph"/>
        <w:numPr>
          <w:ilvl w:val="0"/>
          <w:numId w:val="7"/>
        </w:numPr>
      </w:pPr>
      <w:r>
        <w:t>The “.” suffix separator is used</w:t>
      </w:r>
    </w:p>
    <w:p w:rsidR="00E62149" w:rsidRDefault="00E62149" w:rsidP="00E62149">
      <w:pPr>
        <w:pStyle w:val="ListParagraph"/>
        <w:numPr>
          <w:ilvl w:val="0"/>
          <w:numId w:val="7"/>
        </w:numPr>
      </w:pPr>
      <w:r>
        <w:t xml:space="preserve">No suffix is </w:t>
      </w:r>
      <w:r w:rsidR="00A06737">
        <w:t>used for the concentrated, or measured, value</w:t>
      </w:r>
    </w:p>
    <w:p w:rsidR="00A06737" w:rsidRDefault="00A06737" w:rsidP="00E62149">
      <w:pPr>
        <w:pStyle w:val="ListParagraph"/>
        <w:numPr>
          <w:ilvl w:val="0"/>
          <w:numId w:val="7"/>
        </w:numPr>
      </w:pPr>
      <w:r>
        <w:t xml:space="preserve">The “I” </w:t>
      </w:r>
      <w:r w:rsidR="005A3839">
        <w:t xml:space="preserve">suffix </w:t>
      </w:r>
      <w:r>
        <w:t xml:space="preserve"> is used for the interpretation</w:t>
      </w:r>
    </w:p>
    <w:p w:rsidR="00A06737" w:rsidRPr="00E62149" w:rsidRDefault="005A3839" w:rsidP="00E62149">
      <w:pPr>
        <w:pStyle w:val="ListParagraph"/>
        <w:numPr>
          <w:ilvl w:val="0"/>
          <w:numId w:val="7"/>
        </w:numPr>
      </w:pPr>
      <w:r>
        <w:t xml:space="preserve">The “R” suffix is used for the raw value, and the LAW conventions for reporting </w:t>
      </w:r>
      <w:proofErr w:type="gramStart"/>
      <w:r>
        <w:t>supplemental  results</w:t>
      </w:r>
      <w:proofErr w:type="gramEnd"/>
      <w:r>
        <w:t xml:space="preserve"> are followed.</w:t>
      </w:r>
    </w:p>
    <w:p w:rsidR="00422D39" w:rsidRDefault="00422D39" w:rsidP="00422D39">
      <w:pPr>
        <w:rPr>
          <w:rFonts w:ascii="Calibri" w:hAnsi="Calibri" w:cs="Calibri"/>
          <w:color w:val="4F81BD"/>
          <w:sz w:val="22"/>
          <w:szCs w:val="22"/>
        </w:rPr>
      </w:pPr>
    </w:p>
    <w:p w:rsidR="00422D39" w:rsidRDefault="00422D39" w:rsidP="00422D39">
      <w:r>
        <w:rPr>
          <w:rFonts w:ascii="Calibri" w:hAnsi="Calibri" w:cs="Calibri"/>
          <w:color w:val="4F81BD"/>
          <w:sz w:val="22"/>
          <w:szCs w:val="22"/>
        </w:rPr>
        <w:t>MSH|^~\&amp;|Siemens|Siemens_DX|OM_LAB_ANALYZER_MGR|IHE|20140130180024-0500||OUL^R22^OUL_R22|a0c83394e9414698a882cea33e64ef48|P|2.5.1|||ER|AL||UNICODE UTF-8|||LAB-29^IHE</w:t>
      </w:r>
    </w:p>
    <w:p w:rsidR="00422D39" w:rsidRDefault="00422D39" w:rsidP="00422D39">
      <w:r>
        <w:rPr>
          <w:rFonts w:ascii="Calibri" w:hAnsi="Calibri" w:cs="Calibri"/>
          <w:color w:val="4F81BD"/>
          <w:sz w:val="22"/>
          <w:szCs w:val="22"/>
        </w:rPr>
        <w:lastRenderedPageBreak/>
        <w:t>PID|1||1505500^^^^PT||Phillips^Jack^^^^^L||19351125000000|M</w:t>
      </w:r>
    </w:p>
    <w:p w:rsidR="00422D39" w:rsidRDefault="00422D39" w:rsidP="00422D39">
      <w:r>
        <w:rPr>
          <w:rFonts w:ascii="Calibri" w:hAnsi="Calibri" w:cs="Calibri"/>
          <w:color w:val="4F81BD"/>
          <w:sz w:val="22"/>
          <w:szCs w:val="22"/>
        </w:rPr>
        <w:t>SPM|1|||SER|||||||P^Patient^LN</w:t>
      </w:r>
    </w:p>
    <w:p w:rsidR="00422D39" w:rsidRDefault="00422D39" w:rsidP="00422D39">
      <w:r>
        <w:rPr>
          <w:rFonts w:ascii="Calibri" w:hAnsi="Calibri" w:cs="Calibri"/>
          <w:color w:val="4F81BD"/>
          <w:sz w:val="22"/>
          <w:szCs w:val="22"/>
        </w:rPr>
        <w:t>SAC|||3000</w:t>
      </w:r>
    </w:p>
    <w:p w:rsidR="00422D39" w:rsidRDefault="00422D39" w:rsidP="00422D39">
      <w:r>
        <w:rPr>
          <w:rFonts w:ascii="Calibri" w:hAnsi="Calibri" w:cs="Calibri"/>
          <w:color w:val="4F81BD"/>
          <w:sz w:val="22"/>
          <w:szCs w:val="22"/>
        </w:rPr>
        <w:t>OBR|1|1D12BE||75^CHLORIDE^99Siemens</w:t>
      </w:r>
    </w:p>
    <w:p w:rsidR="00422D39" w:rsidRDefault="00422D39" w:rsidP="00422D39">
      <w:r>
        <w:rPr>
          <w:rFonts w:ascii="Calibri" w:hAnsi="Calibri" w:cs="Calibri"/>
          <w:color w:val="4F81BD"/>
          <w:sz w:val="22"/>
          <w:szCs w:val="22"/>
        </w:rPr>
        <w:t>ORC|OK||||CM</w:t>
      </w:r>
    </w:p>
    <w:p w:rsidR="00422D39" w:rsidRDefault="00422D39" w:rsidP="00422D39">
      <w:r>
        <w:rPr>
          <w:rFonts w:ascii="Calibri" w:hAnsi="Calibri" w:cs="Calibri"/>
          <w:color w:val="4F81BD"/>
          <w:sz w:val="22"/>
          <w:szCs w:val="22"/>
        </w:rPr>
        <w:t>OBX|1|NM|75^CHLORIDE^99Siemen</w:t>
      </w:r>
      <w:r w:rsidR="00E62149">
        <w:rPr>
          <w:rFonts w:ascii="Calibri" w:hAnsi="Calibri" w:cs="Calibri"/>
          <w:color w:val="4F81BD"/>
          <w:sz w:val="22"/>
          <w:szCs w:val="22"/>
        </w:rPr>
        <w:t>s|1|16.23|ng/mL^ng/mL^UCUM||””</w:t>
      </w:r>
      <w:r>
        <w:rPr>
          <w:rFonts w:ascii="Calibri" w:hAnsi="Calibri" w:cs="Calibri"/>
          <w:color w:val="4F81BD"/>
          <w:sz w:val="22"/>
          <w:szCs w:val="22"/>
        </w:rPr>
        <w:t>|||F|||||siemensinternal^No Review||Centaur^Siemens~13131231212123123^Siemens|20140130180024</w:t>
      </w:r>
    </w:p>
    <w:p w:rsidR="00422D39" w:rsidRDefault="00422D39" w:rsidP="00422D39">
      <w:r>
        <w:rPr>
          <w:rFonts w:ascii="Calibri" w:hAnsi="Calibri" w:cs="Calibri"/>
          <w:color w:val="00B050"/>
          <w:sz w:val="22"/>
          <w:szCs w:val="22"/>
        </w:rPr>
        <w:t>OBX|2|ST|75.I^CHLORIDE^99Siemens|1|Reactive|</w:t>
      </w:r>
      <w:r w:rsidR="00E62149">
        <w:rPr>
          <w:rFonts w:ascii="Calibri" w:hAnsi="Calibri" w:cs="Calibri"/>
          <w:color w:val="00B050"/>
          <w:sz w:val="22"/>
          <w:szCs w:val="22"/>
        </w:rPr>
        <w:t>||””</w:t>
      </w:r>
      <w:r>
        <w:rPr>
          <w:rFonts w:ascii="Calibri" w:hAnsi="Calibri" w:cs="Calibri"/>
          <w:color w:val="00B050"/>
          <w:sz w:val="22"/>
          <w:szCs w:val="22"/>
        </w:rPr>
        <w:t>|||F|||||siemensinternal^No Review||Centaur^Siemens~13131231212123123^Siemens|20140130180024</w:t>
      </w:r>
    </w:p>
    <w:p w:rsidR="00422D39" w:rsidRDefault="00422D39" w:rsidP="00422D39">
      <w:r>
        <w:rPr>
          <w:rFonts w:ascii="Calibri" w:hAnsi="Calibri" w:cs="Calibri"/>
          <w:color w:val="C00000"/>
          <w:sz w:val="22"/>
          <w:szCs w:val="22"/>
        </w:rPr>
        <w:t>OBX|3|NM|75.R^CHLORIDE^99Siemens^S_RAW^Raw Supplem</w:t>
      </w:r>
      <w:r w:rsidR="00E62149">
        <w:rPr>
          <w:rFonts w:ascii="Calibri" w:hAnsi="Calibri" w:cs="Calibri"/>
          <w:color w:val="C00000"/>
          <w:sz w:val="22"/>
          <w:szCs w:val="22"/>
        </w:rPr>
        <w:t>ental^IHELAW|1|12000|^UCUM||””</w:t>
      </w:r>
      <w:r>
        <w:rPr>
          <w:rFonts w:ascii="Calibri" w:hAnsi="Calibri" w:cs="Calibri"/>
          <w:color w:val="C00000"/>
          <w:sz w:val="22"/>
          <w:szCs w:val="22"/>
        </w:rPr>
        <w:t>|||F|||||siemensinternal^No Review||Centaur^Siemens~13131231212123123^Siemens|20140130180024</w:t>
      </w:r>
    </w:p>
    <w:p w:rsidR="00422D39" w:rsidRDefault="00422D39"/>
    <w:p w:rsidR="007270B9" w:rsidRDefault="007270B9">
      <w:r>
        <w:t>Note for this example:</w:t>
      </w:r>
    </w:p>
    <w:p w:rsidR="007270B9" w:rsidRDefault="00886D29" w:rsidP="007270B9">
      <w:pPr>
        <w:pStyle w:val="ListParagraph"/>
        <w:numPr>
          <w:ilvl w:val="0"/>
          <w:numId w:val="9"/>
        </w:numPr>
      </w:pPr>
      <w:r>
        <w:t>The vendors must coordinate to establish the convention used for the “I” suffix</w:t>
      </w:r>
    </w:p>
    <w:p w:rsidR="00886D29" w:rsidRDefault="00886D29" w:rsidP="007270B9">
      <w:pPr>
        <w:pStyle w:val="ListParagraph"/>
        <w:numPr>
          <w:ilvl w:val="0"/>
          <w:numId w:val="9"/>
        </w:numPr>
      </w:pPr>
      <w:r>
        <w:t>The vendors must coordinate to establish the valid list of strings for the “I” suffix because a standard vocabulary is not used</w:t>
      </w:r>
    </w:p>
    <w:p w:rsidR="00886D29" w:rsidRDefault="00886D29" w:rsidP="007270B9">
      <w:pPr>
        <w:pStyle w:val="ListParagraph"/>
        <w:numPr>
          <w:ilvl w:val="0"/>
          <w:numId w:val="9"/>
        </w:numPr>
      </w:pPr>
      <w:r>
        <w:t>The Analyzer Manager must parse the OBX-3 identifier to determine the observation type</w:t>
      </w:r>
    </w:p>
    <w:p w:rsidR="00E62149" w:rsidRDefault="00E62149" w:rsidP="00E62149">
      <w:pPr>
        <w:pStyle w:val="Heading1"/>
      </w:pPr>
      <w:r>
        <w:t xml:space="preserve">Revised Example #2 </w:t>
      </w:r>
    </w:p>
    <w:p w:rsidR="005A3839" w:rsidRDefault="005A3839" w:rsidP="005A3839">
      <w:r>
        <w:t>Same as example #1, except the interpretation is sent using OBX-8.</w:t>
      </w:r>
    </w:p>
    <w:p w:rsidR="005A3839" w:rsidRDefault="005A3839" w:rsidP="005A3839"/>
    <w:p w:rsidR="005A3839" w:rsidRDefault="005A3839" w:rsidP="005A3839">
      <w:r>
        <w:rPr>
          <w:rFonts w:ascii="Calibri" w:hAnsi="Calibri" w:cs="Calibri"/>
          <w:color w:val="4F81BD"/>
          <w:sz w:val="22"/>
          <w:szCs w:val="22"/>
        </w:rPr>
        <w:t>MSH|^~\&amp;|Siemens|Siemens_DX|OM_LAB_ANALYZER_MGR|IHE|20140130180024-0500||OUL^R22^OUL_R22|a0c83394e9414698a882cea33e64ef48|P|2.5.1|||ER|AL||UNICODE UTF-8|||LAB-29^IHE</w:t>
      </w:r>
    </w:p>
    <w:p w:rsidR="005A3839" w:rsidRDefault="005A3839" w:rsidP="005A3839">
      <w:r>
        <w:rPr>
          <w:rFonts w:ascii="Calibri" w:hAnsi="Calibri" w:cs="Calibri"/>
          <w:color w:val="4F81BD"/>
          <w:sz w:val="22"/>
          <w:szCs w:val="22"/>
        </w:rPr>
        <w:t>PID|1||1505500^^^^PT||Phillips^Jack^^^^^L||19351125000000|M</w:t>
      </w:r>
    </w:p>
    <w:p w:rsidR="005A3839" w:rsidRDefault="005A3839" w:rsidP="005A3839">
      <w:r>
        <w:rPr>
          <w:rFonts w:ascii="Calibri" w:hAnsi="Calibri" w:cs="Calibri"/>
          <w:color w:val="4F81BD"/>
          <w:sz w:val="22"/>
          <w:szCs w:val="22"/>
        </w:rPr>
        <w:t>SPM|1|||SER|||||||P^Patient^LN</w:t>
      </w:r>
    </w:p>
    <w:p w:rsidR="005A3839" w:rsidRDefault="005A3839" w:rsidP="005A3839">
      <w:r>
        <w:rPr>
          <w:rFonts w:ascii="Calibri" w:hAnsi="Calibri" w:cs="Calibri"/>
          <w:color w:val="4F81BD"/>
          <w:sz w:val="22"/>
          <w:szCs w:val="22"/>
        </w:rPr>
        <w:t>SAC|||3000</w:t>
      </w:r>
    </w:p>
    <w:p w:rsidR="005A3839" w:rsidRDefault="005A3839" w:rsidP="005A3839">
      <w:r>
        <w:rPr>
          <w:rFonts w:ascii="Calibri" w:hAnsi="Calibri" w:cs="Calibri"/>
          <w:color w:val="4F81BD"/>
          <w:sz w:val="22"/>
          <w:szCs w:val="22"/>
        </w:rPr>
        <w:t>OBR|1|1D12BE||75^CHLORIDE^99Siemens</w:t>
      </w:r>
    </w:p>
    <w:p w:rsidR="005A3839" w:rsidRDefault="005A3839" w:rsidP="005A3839">
      <w:r>
        <w:rPr>
          <w:rFonts w:ascii="Calibri" w:hAnsi="Calibri" w:cs="Calibri"/>
          <w:color w:val="4F81BD"/>
          <w:sz w:val="22"/>
          <w:szCs w:val="22"/>
        </w:rPr>
        <w:t>ORC|OK||||CM</w:t>
      </w:r>
    </w:p>
    <w:p w:rsidR="005A3839" w:rsidRDefault="005A3839" w:rsidP="005A3839">
      <w:r>
        <w:rPr>
          <w:rFonts w:ascii="Calibri" w:hAnsi="Calibri" w:cs="Calibri"/>
          <w:color w:val="4F81BD"/>
          <w:sz w:val="22"/>
          <w:szCs w:val="22"/>
        </w:rPr>
        <w:t>OBX|1|NM|75^CHLORIDE^99Siemens|1|16.23|ng/mL^ng/mL^UCUM||</w:t>
      </w:r>
      <w:r w:rsidRPr="005A3839">
        <w:rPr>
          <w:rFonts w:ascii="Calibri" w:hAnsi="Calibri" w:cs="Calibri"/>
          <w:color w:val="00B050"/>
          <w:sz w:val="22"/>
          <w:szCs w:val="22"/>
        </w:rPr>
        <w:t xml:space="preserve"> </w:t>
      </w:r>
      <w:r>
        <w:rPr>
          <w:rFonts w:ascii="Calibri" w:hAnsi="Calibri" w:cs="Calibri"/>
          <w:color w:val="00B050"/>
          <w:sz w:val="22"/>
          <w:szCs w:val="22"/>
        </w:rPr>
        <w:t>Reactive^^HL70078</w:t>
      </w:r>
      <w:r>
        <w:rPr>
          <w:rFonts w:ascii="Calibri" w:hAnsi="Calibri" w:cs="Calibri"/>
          <w:color w:val="4F81BD"/>
          <w:sz w:val="22"/>
          <w:szCs w:val="22"/>
        </w:rPr>
        <w:t xml:space="preserve"> |||</w:t>
      </w:r>
      <w:proofErr w:type="spellStart"/>
      <w:r>
        <w:rPr>
          <w:rFonts w:ascii="Calibri" w:hAnsi="Calibri" w:cs="Calibri"/>
          <w:color w:val="4F81BD"/>
          <w:sz w:val="22"/>
          <w:szCs w:val="22"/>
        </w:rPr>
        <w:t>F|||||siemensinternal^No</w:t>
      </w:r>
      <w:proofErr w:type="spellEnd"/>
      <w:r>
        <w:rPr>
          <w:rFonts w:ascii="Calibri" w:hAnsi="Calibri" w:cs="Calibri"/>
          <w:color w:val="4F81BD"/>
          <w:sz w:val="22"/>
          <w:szCs w:val="22"/>
        </w:rPr>
        <w:t xml:space="preserve"> Review||Centaur^Siemens~13131231212123123^Siemens|20140130180024</w:t>
      </w:r>
    </w:p>
    <w:p w:rsidR="005A3839" w:rsidRDefault="005A3839" w:rsidP="005A3839">
      <w:r>
        <w:rPr>
          <w:rFonts w:ascii="Calibri" w:hAnsi="Calibri" w:cs="Calibri"/>
          <w:color w:val="C00000"/>
          <w:sz w:val="22"/>
          <w:szCs w:val="22"/>
        </w:rPr>
        <w:t>OBX|2|NM|75.R^CHLORIDE^99Siemens^S_RAW^Raw Supplemental^IHELAW|1|12000|^UCUM||””|||F|||||siemensinternal^No Review||Centaur^Siemens~13131231212123123^Siemens|20140130180024</w:t>
      </w:r>
    </w:p>
    <w:p w:rsidR="005A3839" w:rsidRDefault="005A3839" w:rsidP="005A3839"/>
    <w:p w:rsidR="007270B9" w:rsidRDefault="007270B9" w:rsidP="005A3839">
      <w:r>
        <w:t>Note that in this example:</w:t>
      </w:r>
    </w:p>
    <w:p w:rsidR="007270B9" w:rsidRDefault="007270B9" w:rsidP="007270B9">
      <w:pPr>
        <w:pStyle w:val="ListParagraph"/>
        <w:numPr>
          <w:ilvl w:val="0"/>
          <w:numId w:val="8"/>
        </w:numPr>
      </w:pPr>
      <w:r>
        <w:lastRenderedPageBreak/>
        <w:t>The standard vocabulary is used to report the interpretation</w:t>
      </w:r>
    </w:p>
    <w:p w:rsidR="007270B9" w:rsidRDefault="007270B9" w:rsidP="007270B9">
      <w:pPr>
        <w:pStyle w:val="ListParagraph"/>
        <w:numPr>
          <w:ilvl w:val="0"/>
          <w:numId w:val="8"/>
        </w:numPr>
      </w:pPr>
      <w:r>
        <w:t>An Analyzer Ma</w:t>
      </w:r>
      <w:r w:rsidR="00886D29">
        <w:t xml:space="preserve">nager would not need to </w:t>
      </w:r>
      <w:r w:rsidR="009C0CC5">
        <w:t xml:space="preserve">parse </w:t>
      </w:r>
      <w:r>
        <w:t>the identifier in OBX #1 because a suffix was not used</w:t>
      </w:r>
      <w:r w:rsidR="00886D29">
        <w:t xml:space="preserve"> and the interpretation is provided in OBX-8</w:t>
      </w:r>
    </w:p>
    <w:p w:rsidR="007270B9" w:rsidRDefault="007270B9" w:rsidP="007270B9">
      <w:pPr>
        <w:pStyle w:val="ListParagraph"/>
        <w:numPr>
          <w:ilvl w:val="0"/>
          <w:numId w:val="8"/>
        </w:numPr>
      </w:pPr>
      <w:r>
        <w:t>An Analyzer Manager could choose to ignore OBX #2 beca</w:t>
      </w:r>
      <w:r w:rsidR="009C0CC5">
        <w:t>use it could determine it was a</w:t>
      </w:r>
      <w:bookmarkStart w:id="0" w:name="_GoBack"/>
      <w:bookmarkEnd w:id="0"/>
      <w:r>
        <w:t xml:space="preserve"> LAW supplemental result. The Analyzer Manager once again would not need to parse the identifier, because this is determined by the LAW standard vocabulary for supplemental results.</w:t>
      </w:r>
    </w:p>
    <w:p w:rsidR="007270B9" w:rsidRPr="005A3839" w:rsidRDefault="007270B9" w:rsidP="007270B9">
      <w:pPr>
        <w:pStyle w:val="ListParagraph"/>
        <w:numPr>
          <w:ilvl w:val="0"/>
          <w:numId w:val="8"/>
        </w:numPr>
      </w:pPr>
      <w:r>
        <w:t xml:space="preserve">This approach provides the highest degree of </w:t>
      </w:r>
      <w:proofErr w:type="spellStart"/>
      <w:r>
        <w:t>plug’n’play</w:t>
      </w:r>
      <w:proofErr w:type="spellEnd"/>
      <w:r>
        <w:t xml:space="preserve"> for the basic LAW exchange of results.</w:t>
      </w:r>
    </w:p>
    <w:sectPr w:rsidR="007270B9" w:rsidRPr="005A3839" w:rsidSect="008966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55A2"/>
    <w:multiLevelType w:val="hybridMultilevel"/>
    <w:tmpl w:val="C03A2C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0BE5AA4"/>
    <w:multiLevelType w:val="hybridMultilevel"/>
    <w:tmpl w:val="3BF8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A5F1C"/>
    <w:multiLevelType w:val="hybridMultilevel"/>
    <w:tmpl w:val="2444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F4763"/>
    <w:multiLevelType w:val="hybridMultilevel"/>
    <w:tmpl w:val="AE86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46B47"/>
    <w:multiLevelType w:val="hybridMultilevel"/>
    <w:tmpl w:val="8F589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C5E55"/>
    <w:multiLevelType w:val="hybridMultilevel"/>
    <w:tmpl w:val="672CA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96CA9"/>
    <w:multiLevelType w:val="hybridMultilevel"/>
    <w:tmpl w:val="645C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6367F"/>
    <w:multiLevelType w:val="hybridMultilevel"/>
    <w:tmpl w:val="BEAEA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B6590"/>
    <w:multiLevelType w:val="hybridMultilevel"/>
    <w:tmpl w:val="4A480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7F"/>
    <w:rsid w:val="000431AA"/>
    <w:rsid w:val="00072661"/>
    <w:rsid w:val="00112A23"/>
    <w:rsid w:val="001722B0"/>
    <w:rsid w:val="003C386F"/>
    <w:rsid w:val="00422D39"/>
    <w:rsid w:val="004E5D27"/>
    <w:rsid w:val="005A3839"/>
    <w:rsid w:val="00667B72"/>
    <w:rsid w:val="007270B9"/>
    <w:rsid w:val="0080057F"/>
    <w:rsid w:val="008565D6"/>
    <w:rsid w:val="00886D29"/>
    <w:rsid w:val="0089667F"/>
    <w:rsid w:val="009C0CC5"/>
    <w:rsid w:val="00A06737"/>
    <w:rsid w:val="00A07EDB"/>
    <w:rsid w:val="00A76F12"/>
    <w:rsid w:val="00A77C26"/>
    <w:rsid w:val="00B31643"/>
    <w:rsid w:val="00C90C0E"/>
    <w:rsid w:val="00CA283E"/>
    <w:rsid w:val="00D40B3E"/>
    <w:rsid w:val="00D769BB"/>
    <w:rsid w:val="00E62149"/>
    <w:rsid w:val="00E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D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6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2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D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6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2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C1BB5-DD4C-4DDC-822A-0BFEE71C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Heierman, Edwin O</dc:creator>
  <cp:lastModifiedBy>Ed Heierman</cp:lastModifiedBy>
  <cp:revision>8</cp:revision>
  <dcterms:created xsi:type="dcterms:W3CDTF">2014-05-14T07:11:00Z</dcterms:created>
  <dcterms:modified xsi:type="dcterms:W3CDTF">2014-05-23T19:03:00Z</dcterms:modified>
</cp:coreProperties>
</file>