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F0" w:rsidRPr="00FE2852" w:rsidRDefault="004A38F0" w:rsidP="004A38F0">
      <w:pPr>
        <w:rPr>
          <w:b/>
          <w:lang w:val="en-GB"/>
        </w:rPr>
      </w:pPr>
      <w:r w:rsidRPr="00FE2852">
        <w:rPr>
          <w:b/>
          <w:lang w:val="en-GB"/>
        </w:rPr>
        <w:t>ICD Neoplasms Topic Advisory Group</w:t>
      </w:r>
    </w:p>
    <w:p w:rsidR="004A38F0" w:rsidRPr="00FE2852" w:rsidRDefault="004A38F0" w:rsidP="004A38F0">
      <w:pPr>
        <w:rPr>
          <w:b/>
          <w:lang w:val="en-GB"/>
        </w:rPr>
      </w:pPr>
      <w:r w:rsidRPr="00FE2852">
        <w:rPr>
          <w:b/>
          <w:lang w:val="en-GB"/>
        </w:rPr>
        <w:t xml:space="preserve">Summary </w:t>
      </w:r>
      <w:r w:rsidRPr="00FE2852">
        <w:rPr>
          <w:b/>
          <w:lang w:val="en-GB"/>
        </w:rPr>
        <w:t>of</w:t>
      </w:r>
      <w:r w:rsidR="0056246A" w:rsidRPr="00FE2852">
        <w:rPr>
          <w:b/>
          <w:lang w:val="en-GB"/>
        </w:rPr>
        <w:t xml:space="preserve"> TAG </w:t>
      </w:r>
      <w:r w:rsidRPr="00FE2852">
        <w:rPr>
          <w:b/>
          <w:lang w:val="en-GB"/>
        </w:rPr>
        <w:t xml:space="preserve">work </w:t>
      </w:r>
      <w:r w:rsidR="0056246A" w:rsidRPr="00FE2852">
        <w:rPr>
          <w:b/>
          <w:lang w:val="en-GB"/>
        </w:rPr>
        <w:t xml:space="preserve">since </w:t>
      </w:r>
      <w:proofErr w:type="spellStart"/>
      <w:r w:rsidR="0056246A" w:rsidRPr="00FE2852">
        <w:rPr>
          <w:b/>
          <w:lang w:val="en-GB"/>
        </w:rPr>
        <w:t>Pisani</w:t>
      </w:r>
      <w:proofErr w:type="spellEnd"/>
      <w:r w:rsidR="0056246A" w:rsidRPr="00FE2852">
        <w:rPr>
          <w:b/>
          <w:lang w:val="en-GB"/>
        </w:rPr>
        <w:t xml:space="preserve"> and </w:t>
      </w:r>
      <w:proofErr w:type="spellStart"/>
      <w:r w:rsidR="0056246A" w:rsidRPr="00FE2852">
        <w:rPr>
          <w:b/>
          <w:lang w:val="en-GB"/>
        </w:rPr>
        <w:t>Speakman</w:t>
      </w:r>
      <w:proofErr w:type="spellEnd"/>
      <w:r w:rsidR="0056246A" w:rsidRPr="00FE2852">
        <w:rPr>
          <w:b/>
          <w:lang w:val="en-GB"/>
        </w:rPr>
        <w:t xml:space="preserve"> took responsibility to chair the group (September 2011)</w:t>
      </w:r>
    </w:p>
    <w:p w:rsidR="0056246A" w:rsidRDefault="0056246A" w:rsidP="004A38F0">
      <w:pPr>
        <w:rPr>
          <w:lang w:val="en-GB"/>
        </w:rPr>
      </w:pPr>
      <w:r>
        <w:rPr>
          <w:lang w:val="en-GB"/>
        </w:rPr>
        <w:t>First step was to review all the material collected by IARC on proposed/requested modifications to ICD, originated by a variety of sources.  A web-based survey among cancer registries was conducted in December 2011 to assess their needs</w:t>
      </w:r>
      <w:r w:rsidR="00893D18">
        <w:rPr>
          <w:lang w:val="en-GB"/>
        </w:rPr>
        <w:t xml:space="preserve"> (</w:t>
      </w:r>
      <w:r w:rsidR="00893D18" w:rsidRPr="00444E60">
        <w:rPr>
          <w:b/>
          <w:lang w:val="en-GB"/>
        </w:rPr>
        <w:t>D1</w:t>
      </w:r>
      <w:r w:rsidR="00893D18">
        <w:rPr>
          <w:lang w:val="en-GB"/>
        </w:rPr>
        <w:t>)</w:t>
      </w:r>
      <w:r>
        <w:rPr>
          <w:lang w:val="en-GB"/>
        </w:rPr>
        <w:t>. Input from TAGs Internal Medicine</w:t>
      </w:r>
      <w:r w:rsidR="00A53B5D">
        <w:rPr>
          <w:lang w:val="en-GB"/>
        </w:rPr>
        <w:t>,</w:t>
      </w:r>
      <w:r>
        <w:rPr>
          <w:lang w:val="en-GB"/>
        </w:rPr>
        <w:t xml:space="preserve"> Gastroenterology</w:t>
      </w:r>
      <w:r w:rsidR="00A53B5D">
        <w:rPr>
          <w:lang w:val="en-GB"/>
        </w:rPr>
        <w:t xml:space="preserve"> and Haematology</w:t>
      </w:r>
      <w:r w:rsidR="00E5063C">
        <w:rPr>
          <w:lang w:val="en-GB"/>
        </w:rPr>
        <w:t xml:space="preserve"> was also considered</w:t>
      </w:r>
      <w:r w:rsidR="00893D18">
        <w:rPr>
          <w:lang w:val="en-GB"/>
        </w:rPr>
        <w:t xml:space="preserve"> (</w:t>
      </w:r>
      <w:r w:rsidR="00893D18" w:rsidRPr="00444E60">
        <w:rPr>
          <w:b/>
          <w:lang w:val="en-GB"/>
        </w:rPr>
        <w:t>D2</w:t>
      </w:r>
      <w:r w:rsidR="00893D18">
        <w:rPr>
          <w:lang w:val="en-GB"/>
        </w:rPr>
        <w:t>)</w:t>
      </w:r>
      <w:r w:rsidR="00E5063C">
        <w:rPr>
          <w:lang w:val="en-GB"/>
        </w:rPr>
        <w:t xml:space="preserve">. </w:t>
      </w:r>
      <w:r w:rsidR="00893D18">
        <w:rPr>
          <w:lang w:val="en-GB"/>
        </w:rPr>
        <w:t xml:space="preserve"> The </w:t>
      </w:r>
      <w:r w:rsidR="007D02A8">
        <w:rPr>
          <w:lang w:val="en-GB"/>
        </w:rPr>
        <w:t xml:space="preserve">Neoplasm </w:t>
      </w:r>
      <w:r w:rsidR="00893D18">
        <w:rPr>
          <w:lang w:val="en-GB"/>
        </w:rPr>
        <w:t xml:space="preserve">TAG considered </w:t>
      </w:r>
      <w:r w:rsidR="007D02A8">
        <w:rPr>
          <w:lang w:val="en-GB"/>
        </w:rPr>
        <w:t xml:space="preserve">and </w:t>
      </w:r>
      <w:r w:rsidR="00893D18">
        <w:rPr>
          <w:lang w:val="en-GB"/>
        </w:rPr>
        <w:t>discussed topics proposed in weekly TC.</w:t>
      </w:r>
    </w:p>
    <w:p w:rsidR="00893D18" w:rsidRPr="00893D18" w:rsidRDefault="00893D18" w:rsidP="00893D18">
      <w:pPr>
        <w:tabs>
          <w:tab w:val="left" w:pos="5387"/>
        </w:tabs>
        <w:spacing w:after="120"/>
        <w:ind w:right="-28"/>
        <w:rPr>
          <w:lang w:val="en-GB"/>
        </w:rPr>
      </w:pPr>
      <w:r>
        <w:rPr>
          <w:lang w:val="en-GB"/>
        </w:rPr>
        <w:t>T</w:t>
      </w:r>
      <w:r w:rsidRPr="00893D18">
        <w:rPr>
          <w:lang w:val="en-GB"/>
        </w:rPr>
        <w:t xml:space="preserve">his work produced a list of </w:t>
      </w:r>
      <w:r>
        <w:rPr>
          <w:lang w:val="en-GB"/>
        </w:rPr>
        <w:t xml:space="preserve">strategic principles on structure and content of the new ICD that were </w:t>
      </w:r>
      <w:r w:rsidRPr="00893D18">
        <w:rPr>
          <w:lang w:val="en-GB"/>
        </w:rPr>
        <w:t>examined at the face-to-face meeting in Lyon</w:t>
      </w:r>
      <w:r>
        <w:rPr>
          <w:lang w:val="en-GB"/>
        </w:rPr>
        <w:t xml:space="preserve"> (March 2012)</w:t>
      </w:r>
      <w:r w:rsidR="00FA7CEB">
        <w:rPr>
          <w:lang w:val="en-GB"/>
        </w:rPr>
        <w:t xml:space="preserve"> and can be summarized as follows:</w:t>
      </w:r>
    </w:p>
    <w:p w:rsidR="009E0515" w:rsidRDefault="00866761" w:rsidP="007D02A8">
      <w:pPr>
        <w:pStyle w:val="ListParagraph"/>
        <w:numPr>
          <w:ilvl w:val="0"/>
          <w:numId w:val="5"/>
        </w:numPr>
        <w:spacing w:after="240"/>
        <w:contextualSpacing w:val="0"/>
        <w:rPr>
          <w:rFonts w:ascii="Calibri" w:eastAsia="Calibri" w:hAnsi="Calibri"/>
          <w:szCs w:val="22"/>
          <w:lang w:val="en-GB" w:eastAsia="en-US"/>
        </w:rPr>
      </w:pPr>
      <w:r w:rsidRPr="00866761">
        <w:rPr>
          <w:rFonts w:ascii="Calibri" w:eastAsia="Calibri" w:hAnsi="Calibri"/>
          <w:szCs w:val="22"/>
          <w:lang w:val="en-GB" w:eastAsia="en-US"/>
        </w:rPr>
        <w:t xml:space="preserve">Expand </w:t>
      </w:r>
      <w:r w:rsidR="007D02A8">
        <w:rPr>
          <w:rFonts w:ascii="Calibri" w:eastAsia="Calibri" w:hAnsi="Calibri"/>
          <w:szCs w:val="22"/>
          <w:lang w:val="en-GB" w:eastAsia="en-US"/>
        </w:rPr>
        <w:t xml:space="preserve">the </w:t>
      </w:r>
      <w:r w:rsidRPr="00866761">
        <w:rPr>
          <w:rFonts w:ascii="Calibri" w:eastAsia="Calibri" w:hAnsi="Calibri"/>
          <w:szCs w:val="22"/>
          <w:lang w:val="en-GB" w:eastAsia="en-US"/>
        </w:rPr>
        <w:t xml:space="preserve">classification to accommodate tumour morphology (macro-groups), possibly </w:t>
      </w:r>
      <w:r>
        <w:rPr>
          <w:rFonts w:ascii="Calibri" w:eastAsia="Calibri" w:hAnsi="Calibri"/>
          <w:szCs w:val="22"/>
          <w:lang w:val="en-GB" w:eastAsia="en-US"/>
        </w:rPr>
        <w:t xml:space="preserve">at the 3-character level </w:t>
      </w:r>
      <w:r w:rsidR="009E0515">
        <w:rPr>
          <w:rFonts w:ascii="Calibri" w:eastAsia="Calibri" w:hAnsi="Calibri"/>
          <w:szCs w:val="22"/>
          <w:lang w:val="en-GB" w:eastAsia="en-US"/>
        </w:rPr>
        <w:t xml:space="preserve">in order to use it in routine analyses and tabulations of </w:t>
      </w:r>
      <w:r w:rsidR="004918F6">
        <w:rPr>
          <w:rFonts w:ascii="Calibri" w:eastAsia="Calibri" w:hAnsi="Calibri"/>
          <w:szCs w:val="22"/>
          <w:lang w:val="en-GB" w:eastAsia="en-US"/>
        </w:rPr>
        <w:t xml:space="preserve">both </w:t>
      </w:r>
      <w:r w:rsidR="009E0515">
        <w:rPr>
          <w:rFonts w:ascii="Calibri" w:eastAsia="Calibri" w:hAnsi="Calibri"/>
          <w:szCs w:val="22"/>
          <w:lang w:val="en-GB" w:eastAsia="en-US"/>
        </w:rPr>
        <w:t xml:space="preserve">mortality </w:t>
      </w:r>
      <w:r w:rsidR="004918F6">
        <w:rPr>
          <w:rFonts w:ascii="Calibri" w:eastAsia="Calibri" w:hAnsi="Calibri"/>
          <w:szCs w:val="22"/>
          <w:lang w:val="en-GB" w:eastAsia="en-US"/>
        </w:rPr>
        <w:t xml:space="preserve">and morbidity </w:t>
      </w:r>
      <w:r w:rsidR="009E0515">
        <w:rPr>
          <w:rFonts w:ascii="Calibri" w:eastAsia="Calibri" w:hAnsi="Calibri"/>
          <w:szCs w:val="22"/>
          <w:lang w:val="en-GB" w:eastAsia="en-US"/>
        </w:rPr>
        <w:t>data;</w:t>
      </w:r>
    </w:p>
    <w:p w:rsidR="00DD5803" w:rsidRDefault="00E769A1" w:rsidP="007D02A8">
      <w:pPr>
        <w:pStyle w:val="ListParagraph"/>
        <w:numPr>
          <w:ilvl w:val="0"/>
          <w:numId w:val="5"/>
        </w:numPr>
        <w:spacing w:after="240"/>
        <w:contextualSpacing w:val="0"/>
        <w:rPr>
          <w:rFonts w:ascii="Calibri" w:eastAsia="Calibri" w:hAnsi="Calibri"/>
          <w:szCs w:val="22"/>
          <w:lang w:val="en-GB" w:eastAsia="en-US"/>
        </w:rPr>
      </w:pPr>
      <w:r>
        <w:rPr>
          <w:rFonts w:ascii="Calibri" w:eastAsia="Calibri" w:hAnsi="Calibri"/>
          <w:szCs w:val="22"/>
          <w:lang w:val="en-GB" w:eastAsia="en-US"/>
        </w:rPr>
        <w:t>Align</w:t>
      </w:r>
      <w:r w:rsidR="009E0515">
        <w:rPr>
          <w:rFonts w:ascii="Calibri" w:eastAsia="Calibri" w:hAnsi="Calibri"/>
          <w:szCs w:val="22"/>
          <w:lang w:val="en-GB" w:eastAsia="en-US"/>
        </w:rPr>
        <w:t xml:space="preserve"> topographic </w:t>
      </w:r>
      <w:r>
        <w:rPr>
          <w:rFonts w:ascii="Calibri" w:eastAsia="Calibri" w:hAnsi="Calibri"/>
          <w:szCs w:val="22"/>
          <w:lang w:val="en-GB" w:eastAsia="en-US"/>
        </w:rPr>
        <w:t xml:space="preserve">entities </w:t>
      </w:r>
      <w:r w:rsidR="009E0515">
        <w:rPr>
          <w:rFonts w:ascii="Calibri" w:eastAsia="Calibri" w:hAnsi="Calibri"/>
          <w:szCs w:val="22"/>
          <w:lang w:val="en-GB" w:eastAsia="en-US"/>
        </w:rPr>
        <w:t xml:space="preserve"> with</w:t>
      </w:r>
      <w:r w:rsidR="00FA7CEB">
        <w:rPr>
          <w:rFonts w:ascii="Calibri" w:eastAsia="Calibri" w:hAnsi="Calibri"/>
          <w:szCs w:val="22"/>
          <w:lang w:val="en-GB" w:eastAsia="en-US"/>
        </w:rPr>
        <w:t xml:space="preserve"> the</w:t>
      </w:r>
      <w:r w:rsidR="009E0515">
        <w:rPr>
          <w:rFonts w:ascii="Calibri" w:eastAsia="Calibri" w:hAnsi="Calibri"/>
          <w:szCs w:val="22"/>
          <w:lang w:val="en-GB" w:eastAsia="en-US"/>
        </w:rPr>
        <w:t xml:space="preserve"> 7</w:t>
      </w:r>
      <w:r w:rsidR="009E0515" w:rsidRPr="009E0515">
        <w:rPr>
          <w:rFonts w:ascii="Calibri" w:eastAsia="Calibri" w:hAnsi="Calibri"/>
          <w:szCs w:val="22"/>
          <w:lang w:val="en-GB" w:eastAsia="en-US"/>
        </w:rPr>
        <w:t>th</w:t>
      </w:r>
      <w:r w:rsidR="009E0515">
        <w:rPr>
          <w:rFonts w:ascii="Calibri" w:eastAsia="Calibri" w:hAnsi="Calibri"/>
          <w:szCs w:val="22"/>
          <w:lang w:val="en-GB" w:eastAsia="en-US"/>
        </w:rPr>
        <w:t xml:space="preserve"> revision of TNM;</w:t>
      </w:r>
    </w:p>
    <w:p w:rsidR="00E769A1" w:rsidRDefault="00E769A1" w:rsidP="007D02A8">
      <w:pPr>
        <w:pStyle w:val="ListParagraph"/>
        <w:numPr>
          <w:ilvl w:val="0"/>
          <w:numId w:val="5"/>
        </w:numPr>
        <w:spacing w:after="240"/>
        <w:contextualSpacing w:val="0"/>
        <w:rPr>
          <w:rFonts w:ascii="Calibri" w:eastAsia="Calibri" w:hAnsi="Calibri"/>
          <w:szCs w:val="22"/>
          <w:lang w:val="en-GB" w:eastAsia="en-US"/>
        </w:rPr>
      </w:pPr>
      <w:r>
        <w:rPr>
          <w:rFonts w:ascii="Calibri" w:eastAsia="Calibri" w:hAnsi="Calibri"/>
          <w:szCs w:val="22"/>
          <w:lang w:val="en-GB" w:eastAsia="en-US"/>
        </w:rPr>
        <w:t xml:space="preserve">Align the classification of </w:t>
      </w:r>
      <w:proofErr w:type="spellStart"/>
      <w:r>
        <w:rPr>
          <w:rFonts w:ascii="Calibri" w:eastAsia="Calibri" w:hAnsi="Calibri"/>
          <w:szCs w:val="22"/>
          <w:lang w:val="en-GB" w:eastAsia="en-US"/>
        </w:rPr>
        <w:t>ha</w:t>
      </w:r>
      <w:r w:rsidR="007D02A8">
        <w:rPr>
          <w:rFonts w:ascii="Calibri" w:eastAsia="Calibri" w:hAnsi="Calibri"/>
          <w:szCs w:val="22"/>
          <w:lang w:val="en-GB" w:eastAsia="en-US"/>
        </w:rPr>
        <w:t>emo-lymphopoietic</w:t>
      </w:r>
      <w:proofErr w:type="spellEnd"/>
      <w:r w:rsidR="007D02A8">
        <w:rPr>
          <w:rFonts w:ascii="Calibri" w:eastAsia="Calibri" w:hAnsi="Calibri"/>
          <w:szCs w:val="22"/>
          <w:lang w:val="en-GB" w:eastAsia="en-US"/>
        </w:rPr>
        <w:t xml:space="preserve"> </w:t>
      </w:r>
      <w:proofErr w:type="spellStart"/>
      <w:r w:rsidR="007D02A8">
        <w:rPr>
          <w:rFonts w:ascii="Calibri" w:eastAsia="Calibri" w:hAnsi="Calibri"/>
          <w:szCs w:val="22"/>
          <w:lang w:val="en-GB" w:eastAsia="en-US"/>
        </w:rPr>
        <w:t>malignances</w:t>
      </w:r>
      <w:proofErr w:type="spellEnd"/>
      <w:r w:rsidR="007D02A8">
        <w:rPr>
          <w:rFonts w:ascii="Calibri" w:eastAsia="Calibri" w:hAnsi="Calibri"/>
          <w:szCs w:val="22"/>
          <w:lang w:val="en-GB" w:eastAsia="en-US"/>
        </w:rPr>
        <w:t xml:space="preserve"> with</w:t>
      </w:r>
      <w:r>
        <w:rPr>
          <w:rFonts w:ascii="Calibri" w:eastAsia="Calibri" w:hAnsi="Calibri"/>
          <w:szCs w:val="22"/>
          <w:lang w:val="en-GB" w:eastAsia="en-US"/>
        </w:rPr>
        <w:t xml:space="preserve"> the new WHO Classification of Tumours (Blue Book series)</w:t>
      </w:r>
    </w:p>
    <w:p w:rsidR="00FA7DC5" w:rsidRDefault="00FA7DC5" w:rsidP="007D02A8">
      <w:pPr>
        <w:pStyle w:val="ListParagraph"/>
        <w:numPr>
          <w:ilvl w:val="0"/>
          <w:numId w:val="5"/>
        </w:numPr>
        <w:spacing w:after="240"/>
        <w:contextualSpacing w:val="0"/>
        <w:rPr>
          <w:rFonts w:ascii="Calibri" w:eastAsia="Calibri" w:hAnsi="Calibri"/>
          <w:szCs w:val="22"/>
          <w:lang w:val="en-GB" w:eastAsia="en-US"/>
        </w:rPr>
      </w:pPr>
      <w:r>
        <w:rPr>
          <w:rFonts w:ascii="Calibri" w:eastAsia="Calibri" w:hAnsi="Calibri"/>
          <w:szCs w:val="22"/>
          <w:lang w:val="en-GB" w:eastAsia="en-US"/>
        </w:rPr>
        <w:t>Add coding of stage and extension of disease at single care events; the purpose is two-fold:</w:t>
      </w:r>
      <w:r>
        <w:rPr>
          <w:rFonts w:ascii="Calibri" w:eastAsia="Calibri" w:hAnsi="Calibri"/>
          <w:szCs w:val="22"/>
          <w:lang w:val="en-GB" w:eastAsia="en-US"/>
        </w:rPr>
        <w:br/>
        <w:t>-</w:t>
      </w:r>
      <w:r>
        <w:rPr>
          <w:rFonts w:ascii="Calibri" w:eastAsia="Calibri" w:hAnsi="Calibri"/>
          <w:szCs w:val="22"/>
          <w:lang w:val="en-GB" w:eastAsia="en-US"/>
        </w:rPr>
        <w:tab/>
        <w:t>evaluation of the performance of the health system with respect to timeliness of diagnosis</w:t>
      </w:r>
      <w:r>
        <w:rPr>
          <w:rFonts w:ascii="Calibri" w:eastAsia="Calibri" w:hAnsi="Calibri"/>
          <w:szCs w:val="22"/>
          <w:lang w:val="en-GB" w:eastAsia="en-US"/>
        </w:rPr>
        <w:br/>
        <w:t>-</w:t>
      </w:r>
      <w:r>
        <w:rPr>
          <w:rFonts w:ascii="Calibri" w:eastAsia="Calibri" w:hAnsi="Calibri"/>
          <w:szCs w:val="22"/>
          <w:lang w:val="en-GB" w:eastAsia="en-US"/>
        </w:rPr>
        <w:tab/>
        <w:t>facilitate long-term follow-up of cases to evaluate survival (both population-based and clinical series)</w:t>
      </w:r>
    </w:p>
    <w:p w:rsidR="00FA7DC5" w:rsidRPr="007D02A8" w:rsidRDefault="007D02A8" w:rsidP="00E769A1">
      <w:pPr>
        <w:spacing w:after="240"/>
        <w:rPr>
          <w:rFonts w:asciiTheme="minorHAnsi" w:hAnsiTheme="minorHAnsi" w:cstheme="minorHAnsi"/>
          <w:lang w:val="en-GB"/>
        </w:rPr>
      </w:pPr>
      <w:r w:rsidRPr="007D02A8">
        <w:rPr>
          <w:rFonts w:asciiTheme="minorHAnsi" w:hAnsiTheme="minorHAnsi" w:cstheme="minorHAnsi"/>
          <w:lang w:val="en-GB"/>
        </w:rPr>
        <w:t xml:space="preserve">Achieve those goals with </w:t>
      </w:r>
      <w:r>
        <w:rPr>
          <w:rFonts w:asciiTheme="minorHAnsi" w:hAnsiTheme="minorHAnsi" w:cstheme="minorHAnsi"/>
          <w:lang w:val="en-GB"/>
        </w:rPr>
        <w:t xml:space="preserve">the </w:t>
      </w:r>
      <w:r w:rsidRPr="007D02A8">
        <w:rPr>
          <w:rFonts w:asciiTheme="minorHAnsi" w:hAnsiTheme="minorHAnsi" w:cstheme="minorHAnsi"/>
          <w:lang w:val="en-GB"/>
        </w:rPr>
        <w:t>following constrains:</w:t>
      </w:r>
    </w:p>
    <w:p w:rsidR="00FA7CEB" w:rsidRPr="00FA7CEB" w:rsidRDefault="007D02A8" w:rsidP="007D02A8">
      <w:pPr>
        <w:pStyle w:val="ListParagraph"/>
        <w:numPr>
          <w:ilvl w:val="0"/>
          <w:numId w:val="5"/>
        </w:numPr>
        <w:spacing w:after="240"/>
        <w:contextualSpacing w:val="0"/>
        <w:rPr>
          <w:rFonts w:ascii="Calibri" w:eastAsia="Calibri" w:hAnsi="Calibri"/>
          <w:szCs w:val="22"/>
          <w:lang w:val="en-GB" w:eastAsia="en-US"/>
        </w:rPr>
      </w:pPr>
      <w:r w:rsidRPr="00FA7CEB">
        <w:rPr>
          <w:rFonts w:ascii="Calibri" w:eastAsia="Calibri" w:hAnsi="Calibri"/>
          <w:szCs w:val="22"/>
          <w:lang w:val="en-GB" w:eastAsia="en-US"/>
        </w:rPr>
        <w:t>Maintain continuity with ICD10</w:t>
      </w:r>
      <w:r w:rsidR="004918F6">
        <w:rPr>
          <w:rFonts w:ascii="Calibri" w:eastAsia="Calibri" w:hAnsi="Calibri"/>
          <w:szCs w:val="22"/>
          <w:lang w:val="en-GB" w:eastAsia="en-US"/>
        </w:rPr>
        <w:t xml:space="preserve"> at least at the 3-char level</w:t>
      </w:r>
      <w:r w:rsidRPr="00FA7CEB">
        <w:rPr>
          <w:rFonts w:ascii="Calibri" w:eastAsia="Calibri" w:hAnsi="Calibri"/>
          <w:szCs w:val="22"/>
          <w:lang w:val="en-GB" w:eastAsia="en-US"/>
        </w:rPr>
        <w:t xml:space="preserve">: ensure that </w:t>
      </w:r>
      <w:r w:rsidR="004918F6">
        <w:rPr>
          <w:rFonts w:ascii="Calibri" w:eastAsia="Calibri" w:hAnsi="Calibri"/>
          <w:szCs w:val="22"/>
          <w:lang w:val="en-GB" w:eastAsia="en-US"/>
        </w:rPr>
        <w:t xml:space="preserve">3-char </w:t>
      </w:r>
      <w:r w:rsidR="00FA7CEB" w:rsidRPr="00FA7CEB">
        <w:rPr>
          <w:rFonts w:ascii="Calibri" w:eastAsia="Calibri" w:hAnsi="Calibri"/>
          <w:szCs w:val="22"/>
          <w:lang w:val="en-GB" w:eastAsia="en-US"/>
        </w:rPr>
        <w:t>entities classified in ICD10 can be identified comparably in the new classificatio</w:t>
      </w:r>
      <w:r w:rsidR="004918F6">
        <w:rPr>
          <w:rFonts w:ascii="Calibri" w:eastAsia="Calibri" w:hAnsi="Calibri"/>
          <w:szCs w:val="22"/>
          <w:lang w:val="en-GB" w:eastAsia="en-US"/>
        </w:rPr>
        <w:t>n</w:t>
      </w:r>
      <w:r w:rsidR="00FA7CEB" w:rsidRPr="00FA7CEB">
        <w:rPr>
          <w:rFonts w:ascii="Calibri" w:eastAsia="Calibri" w:hAnsi="Calibri"/>
          <w:szCs w:val="22"/>
          <w:lang w:val="en-GB" w:eastAsia="en-US"/>
        </w:rPr>
        <w:t>;</w:t>
      </w:r>
    </w:p>
    <w:p w:rsidR="00444E60" w:rsidRDefault="00444E60" w:rsidP="00444E60">
      <w:pPr>
        <w:pStyle w:val="ListParagraph"/>
        <w:numPr>
          <w:ilvl w:val="0"/>
          <w:numId w:val="5"/>
        </w:numPr>
        <w:spacing w:after="240"/>
        <w:contextualSpacing w:val="0"/>
        <w:rPr>
          <w:rFonts w:ascii="Calibri" w:eastAsia="Calibri" w:hAnsi="Calibri"/>
          <w:szCs w:val="22"/>
          <w:lang w:val="en-GB" w:eastAsia="en-US"/>
        </w:rPr>
      </w:pPr>
      <w:r w:rsidRPr="00444E60">
        <w:rPr>
          <w:rFonts w:ascii="Calibri" w:eastAsia="Calibri" w:hAnsi="Calibri"/>
          <w:szCs w:val="22"/>
          <w:lang w:val="en-GB" w:eastAsia="en-US"/>
        </w:rPr>
        <w:t>The code structure of ICD11 will be (</w:t>
      </w:r>
      <w:r w:rsidRPr="00444E60">
        <w:rPr>
          <w:rFonts w:ascii="Calibri" w:eastAsia="Calibri" w:hAnsi="Calibri"/>
          <w:b/>
          <w:szCs w:val="22"/>
          <w:lang w:val="en-GB" w:eastAsia="en-US"/>
        </w:rPr>
        <w:t>D3</w:t>
      </w:r>
      <w:r w:rsidR="003F2007">
        <w:rPr>
          <w:rFonts w:ascii="Calibri" w:eastAsia="Calibri" w:hAnsi="Calibri"/>
          <w:b/>
          <w:szCs w:val="22"/>
          <w:lang w:val="en-GB" w:eastAsia="en-US"/>
        </w:rPr>
        <w:t xml:space="preserve"> </w:t>
      </w:r>
      <w:r w:rsidR="003F2007" w:rsidRPr="003F2007">
        <w:rPr>
          <w:rFonts w:ascii="Calibri" w:eastAsia="Calibri" w:hAnsi="Calibri"/>
          <w:szCs w:val="22"/>
          <w:lang w:val="en-GB" w:eastAsia="en-US"/>
        </w:rPr>
        <w:t>4/3/2012</w:t>
      </w:r>
      <w:r w:rsidRPr="00444E60">
        <w:rPr>
          <w:rFonts w:ascii="Calibri" w:eastAsia="Calibri" w:hAnsi="Calibri"/>
          <w:szCs w:val="22"/>
          <w:lang w:val="en-GB" w:eastAsia="en-US"/>
        </w:rPr>
        <w:t xml:space="preserve">):     </w:t>
      </w:r>
      <w:r w:rsidRPr="00444E60">
        <w:rPr>
          <w:rFonts w:ascii="Calibri" w:eastAsia="Calibri" w:hAnsi="Calibri"/>
          <w:szCs w:val="22"/>
          <w:lang w:val="en-GB" w:eastAsia="en-US"/>
        </w:rPr>
        <w:t>E1D213.E4E5</w:t>
      </w:r>
      <w:r w:rsidR="003F2007">
        <w:rPr>
          <w:rFonts w:ascii="Calibri" w:eastAsia="Calibri" w:hAnsi="Calibri"/>
          <w:szCs w:val="22"/>
          <w:lang w:val="en-GB" w:eastAsia="en-US"/>
        </w:rPr>
        <w:t xml:space="preserve">   </w:t>
      </w:r>
      <w:r>
        <w:rPr>
          <w:rFonts w:ascii="Calibri" w:eastAsia="Calibri" w:hAnsi="Calibri"/>
          <w:szCs w:val="22"/>
          <w:lang w:val="en-GB" w:eastAsia="en-US"/>
        </w:rPr>
        <w:br/>
      </w:r>
      <w:r w:rsidRPr="00444E60">
        <w:rPr>
          <w:rFonts w:ascii="Calibri" w:eastAsia="Calibri" w:hAnsi="Calibri"/>
          <w:szCs w:val="22"/>
          <w:lang w:val="en-GB" w:eastAsia="en-US"/>
        </w:rPr>
        <w:t>Where E corresponds to a base 34 number (0-9 and A-Z ; excluding  O,I) ;D corresponds Base 24 number (A-Z ; excluding  O,I); and 1 corresponds to the base 10 integers (0-9)</w:t>
      </w:r>
    </w:p>
    <w:p w:rsidR="00384518" w:rsidRDefault="00444E60" w:rsidP="00384518">
      <w:pPr>
        <w:pStyle w:val="ListParagraph"/>
        <w:numPr>
          <w:ilvl w:val="0"/>
          <w:numId w:val="5"/>
        </w:numPr>
        <w:rPr>
          <w:rFonts w:ascii="Calibri" w:eastAsia="Calibri" w:hAnsi="Calibri"/>
          <w:szCs w:val="22"/>
          <w:lang w:val="en-GB" w:eastAsia="en-US"/>
        </w:rPr>
      </w:pPr>
      <w:r>
        <w:rPr>
          <w:rFonts w:ascii="Calibri" w:eastAsia="Calibri" w:hAnsi="Calibri"/>
          <w:szCs w:val="22"/>
          <w:lang w:val="en-GB" w:eastAsia="en-US"/>
        </w:rPr>
        <w:t xml:space="preserve">Chapter Neoplasms </w:t>
      </w:r>
      <w:r w:rsidR="00384518" w:rsidRPr="00384518">
        <w:rPr>
          <w:rFonts w:ascii="Calibri" w:eastAsia="Calibri" w:hAnsi="Calibri"/>
          <w:szCs w:val="22"/>
          <w:lang w:val="en-GB" w:eastAsia="en-US"/>
        </w:rPr>
        <w:t xml:space="preserve">may use 2 letters at character 1, and all combinations of the following characters. Chapter neoplasms can </w:t>
      </w:r>
      <w:r w:rsidR="00384518">
        <w:rPr>
          <w:rFonts w:ascii="Calibri" w:eastAsia="Calibri" w:hAnsi="Calibri"/>
          <w:szCs w:val="22"/>
          <w:lang w:val="en-GB" w:eastAsia="en-US"/>
        </w:rPr>
        <w:t xml:space="preserve">therefore </w:t>
      </w:r>
      <w:r w:rsidR="00384518" w:rsidRPr="00384518">
        <w:rPr>
          <w:rFonts w:ascii="Calibri" w:eastAsia="Calibri" w:hAnsi="Calibri"/>
          <w:szCs w:val="22"/>
          <w:lang w:val="en-GB" w:eastAsia="en-US"/>
        </w:rPr>
        <w:t>use 480 3-char codes</w:t>
      </w:r>
      <w:r w:rsidR="00384518">
        <w:rPr>
          <w:rFonts w:ascii="Calibri" w:eastAsia="Calibri" w:hAnsi="Calibri"/>
          <w:szCs w:val="22"/>
          <w:lang w:val="en-GB" w:eastAsia="en-US"/>
        </w:rPr>
        <w:t xml:space="preserve"> (</w:t>
      </w:r>
      <w:r w:rsidR="00384518" w:rsidRPr="00384518">
        <w:rPr>
          <w:rFonts w:ascii="Calibri" w:eastAsia="Calibri" w:hAnsi="Calibri"/>
          <w:b/>
          <w:szCs w:val="22"/>
          <w:lang w:val="en-GB" w:eastAsia="en-US"/>
        </w:rPr>
        <w:t>D4</w:t>
      </w:r>
      <w:r w:rsidR="00384518">
        <w:rPr>
          <w:rFonts w:ascii="Calibri" w:eastAsia="Calibri" w:hAnsi="Calibri"/>
          <w:szCs w:val="22"/>
          <w:lang w:val="en-GB" w:eastAsia="en-US"/>
        </w:rPr>
        <w:t>, April 2012).</w:t>
      </w:r>
    </w:p>
    <w:p w:rsidR="00384518" w:rsidRDefault="00384518" w:rsidP="00384518">
      <w:pPr>
        <w:rPr>
          <w:lang w:val="en-GB"/>
        </w:rPr>
      </w:pPr>
    </w:p>
    <w:p w:rsidR="0083461A" w:rsidRDefault="00E5443A" w:rsidP="00384518">
      <w:pPr>
        <w:rPr>
          <w:lang w:val="en-GB"/>
        </w:rPr>
      </w:pPr>
      <w:r>
        <w:rPr>
          <w:lang w:val="en-GB"/>
        </w:rPr>
        <w:t>Options and proposal</w:t>
      </w:r>
      <w:r w:rsidR="00E60DD7">
        <w:rPr>
          <w:lang w:val="en-GB"/>
        </w:rPr>
        <w:t>s</w:t>
      </w:r>
      <w:r>
        <w:rPr>
          <w:lang w:val="en-GB"/>
        </w:rPr>
        <w:t xml:space="preserve"> of content to meet the requirements listed </w:t>
      </w:r>
      <w:r w:rsidR="00E60DD7">
        <w:rPr>
          <w:lang w:val="en-GB"/>
        </w:rPr>
        <w:t xml:space="preserve">above </w:t>
      </w:r>
      <w:r>
        <w:rPr>
          <w:lang w:val="en-GB"/>
        </w:rPr>
        <w:t xml:space="preserve">and how to accommodate it in the code structure were discussed </w:t>
      </w:r>
      <w:r w:rsidRPr="00893D18">
        <w:rPr>
          <w:lang w:val="en-GB"/>
        </w:rPr>
        <w:t>at the face-to-face meeting in Lyon</w:t>
      </w:r>
      <w:r w:rsidR="00E60DD7">
        <w:rPr>
          <w:lang w:val="en-GB"/>
        </w:rPr>
        <w:t xml:space="preserve">. The minutes of the meeting include a list of decisions taken </w:t>
      </w:r>
      <w:r>
        <w:rPr>
          <w:lang w:val="en-GB"/>
        </w:rPr>
        <w:t>(</w:t>
      </w:r>
      <w:r w:rsidR="00E60DD7" w:rsidRPr="00E60DD7">
        <w:rPr>
          <w:b/>
          <w:lang w:val="en-GB"/>
        </w:rPr>
        <w:t>D5</w:t>
      </w:r>
      <w:r w:rsidR="00E60DD7">
        <w:rPr>
          <w:lang w:val="en-GB"/>
        </w:rPr>
        <w:t xml:space="preserve"> </w:t>
      </w:r>
      <w:r>
        <w:rPr>
          <w:lang w:val="en-GB"/>
        </w:rPr>
        <w:t>March 2012)</w:t>
      </w:r>
      <w:r w:rsidR="00E60DD7">
        <w:rPr>
          <w:lang w:val="en-GB"/>
        </w:rPr>
        <w:t xml:space="preserve">. </w:t>
      </w:r>
    </w:p>
    <w:p w:rsidR="00444E60" w:rsidRDefault="0083461A" w:rsidP="00384518">
      <w:pPr>
        <w:spacing w:after="240"/>
        <w:ind w:left="54"/>
        <w:rPr>
          <w:lang w:val="en-GB"/>
        </w:rPr>
      </w:pPr>
      <w:r>
        <w:rPr>
          <w:lang w:val="en-GB"/>
        </w:rPr>
        <w:t xml:space="preserve">Given the structure of ICD11, it was decided to maintain tumour behaviour as the </w:t>
      </w:r>
      <w:r w:rsidR="00A53B5D">
        <w:rPr>
          <w:lang w:val="en-GB"/>
        </w:rPr>
        <w:t>main</w:t>
      </w:r>
      <w:r>
        <w:rPr>
          <w:lang w:val="en-GB"/>
        </w:rPr>
        <w:t xml:space="preserve"> parent classification, </w:t>
      </w:r>
      <w:r w:rsidR="00A53B5D">
        <w:rPr>
          <w:lang w:val="en-GB"/>
        </w:rPr>
        <w:t>even if</w:t>
      </w:r>
      <w:r>
        <w:rPr>
          <w:lang w:val="en-GB"/>
        </w:rPr>
        <w:t xml:space="preserve"> the first char of the code will no longer distinguish behaviours.</w:t>
      </w:r>
      <w:r w:rsidR="00E60DD7">
        <w:rPr>
          <w:lang w:val="en-GB"/>
        </w:rPr>
        <w:t xml:space="preserve"> </w:t>
      </w:r>
    </w:p>
    <w:p w:rsidR="00E60DD7" w:rsidRDefault="00E60DD7" w:rsidP="00384518">
      <w:pPr>
        <w:spacing w:after="240"/>
        <w:ind w:left="54"/>
        <w:rPr>
          <w:lang w:val="en-GB"/>
        </w:rPr>
      </w:pPr>
      <w:r>
        <w:rPr>
          <w:lang w:val="en-GB"/>
        </w:rPr>
        <w:t>Following the meeting</w:t>
      </w:r>
      <w:r w:rsidR="00932F46">
        <w:rPr>
          <w:lang w:val="en-GB"/>
        </w:rPr>
        <w:t xml:space="preserve"> in Lyon,</w:t>
      </w:r>
      <w:r>
        <w:rPr>
          <w:lang w:val="en-GB"/>
        </w:rPr>
        <w:t xml:space="preserve"> much of the work in April-May concentrated on defining relevant morphology groups </w:t>
      </w:r>
      <w:r w:rsidR="00932F46">
        <w:rPr>
          <w:lang w:val="en-GB"/>
        </w:rPr>
        <w:t>within topographic entities</w:t>
      </w:r>
      <w:r>
        <w:rPr>
          <w:lang w:val="en-GB"/>
        </w:rPr>
        <w:t xml:space="preserve"> (which is the main classification criterion of ICD10 and is to be maintained in ICD11).</w:t>
      </w:r>
      <w:r w:rsidR="00932F46">
        <w:rPr>
          <w:lang w:val="en-GB"/>
        </w:rPr>
        <w:t xml:space="preserve"> This was done with the aid of the Cancer Incidence in Five Continents (CI5) database maintained by IARC from which we obtained the relative frequencies of major morphology groups (as defined in ICD-O(3)) by tumour site. The categories “Other specified types (morphology)” and “Morphology unknown” were systematically added to every major topographic entity to make the classification exhaustive.  </w:t>
      </w:r>
    </w:p>
    <w:p w:rsidR="00932F46" w:rsidRDefault="00932F46" w:rsidP="00384518">
      <w:pPr>
        <w:spacing w:after="240"/>
        <w:ind w:left="54"/>
        <w:rPr>
          <w:lang w:val="en-GB"/>
        </w:rPr>
      </w:pPr>
      <w:proofErr w:type="spellStart"/>
      <w:r>
        <w:rPr>
          <w:lang w:val="en-GB"/>
        </w:rPr>
        <w:lastRenderedPageBreak/>
        <w:t>Adjustements</w:t>
      </w:r>
      <w:proofErr w:type="spellEnd"/>
      <w:r>
        <w:rPr>
          <w:lang w:val="en-GB"/>
        </w:rPr>
        <w:t xml:space="preserve"> to major topographic entities (identifiable at the 3-char level) were made to align the new classification with TNM 7</w:t>
      </w:r>
      <w:r w:rsidRPr="00932F46">
        <w:rPr>
          <w:vertAlign w:val="superscript"/>
          <w:lang w:val="en-GB"/>
        </w:rPr>
        <w:t>th</w:t>
      </w:r>
      <w:r>
        <w:rPr>
          <w:lang w:val="en-GB"/>
        </w:rPr>
        <w:t xml:space="preserve"> revision (20 April)</w:t>
      </w:r>
      <w:r w:rsidR="00FC722B">
        <w:rPr>
          <w:lang w:val="en-GB"/>
        </w:rPr>
        <w:t>.</w:t>
      </w:r>
    </w:p>
    <w:p w:rsidR="00FC722B" w:rsidRDefault="00FC722B" w:rsidP="00384518">
      <w:pPr>
        <w:spacing w:after="240"/>
        <w:ind w:left="54"/>
        <w:rPr>
          <w:lang w:val="en-GB"/>
        </w:rPr>
      </w:pPr>
      <w:r>
        <w:rPr>
          <w:lang w:val="en-GB"/>
        </w:rPr>
        <w:t xml:space="preserve">The </w:t>
      </w:r>
      <w:proofErr w:type="spellStart"/>
      <w:r>
        <w:rPr>
          <w:lang w:val="en-GB"/>
        </w:rPr>
        <w:t>haemo-lymphopoietic</w:t>
      </w:r>
      <w:proofErr w:type="spellEnd"/>
      <w:r>
        <w:rPr>
          <w:lang w:val="en-GB"/>
        </w:rPr>
        <w:t xml:space="preserve"> section was replaced with the WHOBB classification. An attempt to link entities coded by ICD10 in this section to the new classification was made through ICD-O.</w:t>
      </w:r>
    </w:p>
    <w:p w:rsidR="00FC722B" w:rsidRDefault="00FC722B" w:rsidP="00384518">
      <w:pPr>
        <w:spacing w:after="240"/>
        <w:ind w:left="54"/>
        <w:rPr>
          <w:lang w:val="en-GB"/>
        </w:rPr>
      </w:pPr>
      <w:r>
        <w:rPr>
          <w:lang w:val="en-GB"/>
        </w:rPr>
        <w:t>Stage/extension of disease was assigned to the 5</w:t>
      </w:r>
      <w:r w:rsidRPr="00FC722B">
        <w:rPr>
          <w:vertAlign w:val="superscript"/>
          <w:lang w:val="en-GB"/>
        </w:rPr>
        <w:t>th</w:t>
      </w:r>
      <w:r>
        <w:rPr>
          <w:lang w:val="en-GB"/>
        </w:rPr>
        <w:t xml:space="preserve"> character as an independent classification criterion, not relevant to mortality use (</w:t>
      </w:r>
      <w:r w:rsidRPr="00FC722B">
        <w:rPr>
          <w:b/>
          <w:lang w:val="en-GB"/>
        </w:rPr>
        <w:t>D6</w:t>
      </w:r>
      <w:r>
        <w:rPr>
          <w:lang w:val="en-GB"/>
        </w:rPr>
        <w:t>).</w:t>
      </w:r>
    </w:p>
    <w:p w:rsidR="00FC722B" w:rsidRDefault="00FC722B" w:rsidP="00384518">
      <w:pPr>
        <w:spacing w:after="240"/>
        <w:ind w:left="54"/>
        <w:rPr>
          <w:lang w:val="en-GB"/>
        </w:rPr>
      </w:pPr>
    </w:p>
    <w:p w:rsidR="00FC722B" w:rsidRDefault="00FC722B" w:rsidP="00384518">
      <w:pPr>
        <w:spacing w:after="240"/>
        <w:ind w:left="54"/>
        <w:rPr>
          <w:lang w:val="en-GB"/>
        </w:rPr>
      </w:pPr>
      <w:r>
        <w:rPr>
          <w:lang w:val="en-GB"/>
        </w:rPr>
        <w:t>The complete beta-proposal is presented in</w:t>
      </w:r>
      <w:r w:rsidR="00A53B5D">
        <w:rPr>
          <w:lang w:val="en-GB"/>
        </w:rPr>
        <w:t xml:space="preserve"> </w:t>
      </w:r>
      <w:proofErr w:type="gramStart"/>
      <w:r w:rsidR="00A53B5D">
        <w:rPr>
          <w:lang w:val="en-GB"/>
        </w:rPr>
        <w:t>“</w:t>
      </w:r>
      <w:r>
        <w:rPr>
          <w:lang w:val="en-GB"/>
        </w:rPr>
        <w:t xml:space="preserve"> </w:t>
      </w:r>
      <w:r w:rsidRPr="00FC722B">
        <w:rPr>
          <w:lang w:val="en-GB"/>
        </w:rPr>
        <w:t>ICD11NeoplasmsTAGproposal</w:t>
      </w:r>
      <w:proofErr w:type="gramEnd"/>
      <w:r w:rsidRPr="00FC722B">
        <w:rPr>
          <w:lang w:val="en-GB"/>
        </w:rPr>
        <w:t xml:space="preserve"> 2012 07.xlsx</w:t>
      </w:r>
      <w:r w:rsidR="00A53B5D">
        <w:rPr>
          <w:lang w:val="en-GB"/>
        </w:rPr>
        <w:t>”</w:t>
      </w:r>
    </w:p>
    <w:p w:rsidR="00A53B5D" w:rsidRDefault="00A53B5D" w:rsidP="00384518">
      <w:pPr>
        <w:spacing w:after="240"/>
        <w:ind w:left="54"/>
        <w:rPr>
          <w:lang w:val="en-GB"/>
        </w:rPr>
      </w:pPr>
    </w:p>
    <w:p w:rsidR="00A53B5D" w:rsidRDefault="00A53B5D" w:rsidP="00384518">
      <w:pPr>
        <w:spacing w:after="240"/>
        <w:ind w:left="54"/>
        <w:rPr>
          <w:lang w:val="en-GB"/>
        </w:rPr>
      </w:pPr>
    </w:p>
    <w:p w:rsidR="00A53B5D" w:rsidRDefault="00A53B5D" w:rsidP="00384518">
      <w:pPr>
        <w:spacing w:after="240"/>
        <w:ind w:left="54"/>
        <w:rPr>
          <w:lang w:val="en-GB"/>
        </w:rPr>
      </w:pPr>
      <w:r>
        <w:rPr>
          <w:lang w:val="en-GB"/>
        </w:rPr>
        <w:t>P.Pisani</w:t>
      </w:r>
      <w:bookmarkStart w:id="0" w:name="_GoBack"/>
      <w:bookmarkEnd w:id="0"/>
    </w:p>
    <w:p w:rsidR="00A53B5D" w:rsidRDefault="00A53B5D" w:rsidP="00384518">
      <w:pPr>
        <w:spacing w:after="240"/>
        <w:ind w:left="54"/>
        <w:rPr>
          <w:lang w:val="en-GB"/>
        </w:rPr>
      </w:pPr>
      <w:r>
        <w:rPr>
          <w:lang w:val="en-GB"/>
        </w:rPr>
        <w:t>Torino, 7/9/2012</w:t>
      </w:r>
    </w:p>
    <w:p w:rsidR="00FC722B" w:rsidRDefault="00FC722B" w:rsidP="00384518">
      <w:pPr>
        <w:spacing w:after="240"/>
        <w:ind w:left="54"/>
        <w:rPr>
          <w:lang w:val="en-GB"/>
        </w:rPr>
      </w:pPr>
    </w:p>
    <w:p w:rsidR="00FC722B" w:rsidRDefault="00FC722B" w:rsidP="00384518">
      <w:pPr>
        <w:spacing w:after="240"/>
        <w:ind w:left="54"/>
        <w:rPr>
          <w:lang w:val="en-GB"/>
        </w:rPr>
      </w:pPr>
    </w:p>
    <w:p w:rsidR="00E60DD7" w:rsidRDefault="00E60DD7" w:rsidP="00384518">
      <w:pPr>
        <w:spacing w:after="240"/>
        <w:ind w:left="54"/>
        <w:rPr>
          <w:lang w:val="en-GB"/>
        </w:rPr>
      </w:pPr>
    </w:p>
    <w:p w:rsidR="007D02A8" w:rsidRPr="00444E60" w:rsidRDefault="007D02A8" w:rsidP="00444E60">
      <w:pPr>
        <w:spacing w:after="240"/>
        <w:rPr>
          <w:rFonts w:asciiTheme="minorHAnsi" w:hAnsiTheme="minorHAnsi" w:cstheme="minorHAnsi"/>
          <w:lang w:val="en-GB"/>
        </w:rPr>
      </w:pPr>
    </w:p>
    <w:p w:rsidR="00444E60" w:rsidRPr="00444E60" w:rsidRDefault="00444E60" w:rsidP="00444E60">
      <w:pPr>
        <w:spacing w:after="240"/>
        <w:rPr>
          <w:rFonts w:asciiTheme="minorHAnsi" w:hAnsiTheme="minorHAnsi" w:cstheme="minorHAnsi"/>
          <w:lang w:val="en-GB"/>
        </w:rPr>
      </w:pPr>
    </w:p>
    <w:p w:rsidR="00FA7DC5" w:rsidRPr="007D02A8" w:rsidRDefault="00FA7DC5" w:rsidP="00FA7DC5">
      <w:pPr>
        <w:pStyle w:val="ListParagraph"/>
        <w:spacing w:after="240"/>
        <w:ind w:left="1077"/>
        <w:contextualSpacing w:val="0"/>
        <w:rPr>
          <w:rFonts w:asciiTheme="minorHAnsi" w:eastAsia="Calibri" w:hAnsiTheme="minorHAnsi" w:cstheme="minorHAnsi"/>
          <w:szCs w:val="22"/>
          <w:lang w:val="en-GB" w:eastAsia="en-US"/>
        </w:rPr>
      </w:pPr>
    </w:p>
    <w:p w:rsidR="004A38F0" w:rsidRPr="007D02A8" w:rsidRDefault="004A38F0" w:rsidP="00FB47CE">
      <w:pPr>
        <w:rPr>
          <w:rFonts w:asciiTheme="minorHAnsi" w:hAnsiTheme="minorHAnsi" w:cstheme="minorHAnsi"/>
          <w:lang w:val="en-GB"/>
        </w:rPr>
      </w:pPr>
    </w:p>
    <w:p w:rsidR="004A38F0" w:rsidRDefault="004A38F0" w:rsidP="00FB47CE">
      <w:pPr>
        <w:rPr>
          <w:lang w:val="en-GB"/>
        </w:rPr>
      </w:pPr>
    </w:p>
    <w:sectPr w:rsidR="004A38F0" w:rsidSect="00FE2852">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77E"/>
    <w:multiLevelType w:val="hybridMultilevel"/>
    <w:tmpl w:val="7D349C14"/>
    <w:lvl w:ilvl="0" w:tplc="1CC866F6">
      <w:start w:val="1"/>
      <w:numFmt w:val="bullet"/>
      <w:lvlText w:val="o"/>
      <w:lvlJc w:val="left"/>
      <w:pPr>
        <w:tabs>
          <w:tab w:val="num" w:pos="750"/>
        </w:tabs>
        <w:ind w:left="75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3E61D59"/>
    <w:multiLevelType w:val="hybridMultilevel"/>
    <w:tmpl w:val="57AE4AF8"/>
    <w:lvl w:ilvl="0" w:tplc="42A2CECE">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29002B8E"/>
    <w:multiLevelType w:val="hybridMultilevel"/>
    <w:tmpl w:val="3956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60242F"/>
    <w:multiLevelType w:val="hybridMultilevel"/>
    <w:tmpl w:val="A1D0103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35CF7C3D"/>
    <w:multiLevelType w:val="hybridMultilevel"/>
    <w:tmpl w:val="05AE2206"/>
    <w:lvl w:ilvl="0" w:tplc="952E6AA2">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37A5756B"/>
    <w:multiLevelType w:val="hybridMultilevel"/>
    <w:tmpl w:val="AEAEF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AA4D9C"/>
    <w:multiLevelType w:val="hybridMultilevel"/>
    <w:tmpl w:val="68A8644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4D16187D"/>
    <w:multiLevelType w:val="hybridMultilevel"/>
    <w:tmpl w:val="C5E4317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F5222F5"/>
    <w:multiLevelType w:val="hybridMultilevel"/>
    <w:tmpl w:val="883AA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3"/>
  </w:num>
  <w:num w:numId="5">
    <w:abstractNumId w:val="1"/>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CE"/>
    <w:rsid w:val="00287E1E"/>
    <w:rsid w:val="00337765"/>
    <w:rsid w:val="00384518"/>
    <w:rsid w:val="003F2007"/>
    <w:rsid w:val="00444E60"/>
    <w:rsid w:val="004918F6"/>
    <w:rsid w:val="004A38F0"/>
    <w:rsid w:val="004A6F0C"/>
    <w:rsid w:val="00501414"/>
    <w:rsid w:val="0056246A"/>
    <w:rsid w:val="007D02A8"/>
    <w:rsid w:val="0083461A"/>
    <w:rsid w:val="0086070B"/>
    <w:rsid w:val="00866761"/>
    <w:rsid w:val="00893D18"/>
    <w:rsid w:val="00932F46"/>
    <w:rsid w:val="009444E7"/>
    <w:rsid w:val="009E0515"/>
    <w:rsid w:val="00A53B5D"/>
    <w:rsid w:val="00DD5803"/>
    <w:rsid w:val="00E5063C"/>
    <w:rsid w:val="00E5443A"/>
    <w:rsid w:val="00E60DD7"/>
    <w:rsid w:val="00E65B22"/>
    <w:rsid w:val="00E769A1"/>
    <w:rsid w:val="00FA7CEB"/>
    <w:rsid w:val="00FA7DC5"/>
    <w:rsid w:val="00FB47CE"/>
    <w:rsid w:val="00FC722B"/>
    <w:rsid w:val="00FE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CE"/>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46A"/>
    <w:pPr>
      <w:spacing w:after="0" w:line="240" w:lineRule="auto"/>
      <w:ind w:left="720"/>
      <w:contextualSpacing/>
    </w:pPr>
    <w:rPr>
      <w:rFonts w:ascii="Times New Roman" w:eastAsia="Times New Roman" w:hAnsi="Times New Roman"/>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CE"/>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46A"/>
    <w:pPr>
      <w:spacing w:after="0" w:line="240" w:lineRule="auto"/>
      <w:ind w:left="720"/>
      <w:contextualSpacing/>
    </w:pPr>
    <w:rPr>
      <w:rFonts w:ascii="Times New Roman" w:eastAsia="Times New Roman" w:hAnsi="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20</cp:revision>
  <dcterms:created xsi:type="dcterms:W3CDTF">2012-09-07T07:24:00Z</dcterms:created>
  <dcterms:modified xsi:type="dcterms:W3CDTF">2012-09-07T09:52:00Z</dcterms:modified>
</cp:coreProperties>
</file>