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Default Extension="png" ContentType="image/png"/>
  <Override PartName="/word/diagrams/quickStyle2.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1.xml" ContentType="application/vnd.openxmlformats-officedocument.drawingml.diagramColor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diagrams/drawing2.xml" ContentType="application/vnd.ms-office.drawingml.diagramDrawing+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717A" w:rsidRDefault="00F0717A" w:rsidP="003A4D62">
      <w:pPr>
        <w:spacing w:after="0" w:line="240" w:lineRule="auto"/>
        <w:ind w:left="1170" w:hanging="1170"/>
        <w:rPr>
          <w:b/>
        </w:rPr>
      </w:pPr>
      <w:r w:rsidRPr="00F0717A">
        <w:rPr>
          <w:b/>
        </w:rPr>
        <w:t>Appendix 1. Health Information Management (HIM) Practice Use Cases by Information Governance Principle</w:t>
      </w:r>
    </w:p>
    <w:p w:rsidR="00DA560C" w:rsidRPr="00F0717A" w:rsidRDefault="00DA560C" w:rsidP="003A4D62">
      <w:pPr>
        <w:spacing w:after="0" w:line="240" w:lineRule="auto"/>
        <w:ind w:left="1170" w:hanging="1170"/>
        <w:rPr>
          <w:b/>
        </w:rPr>
      </w:pPr>
    </w:p>
    <w:p w:rsidR="00F0717A" w:rsidRDefault="00F0717A" w:rsidP="003A4D62">
      <w:pPr>
        <w:pStyle w:val="ListParagraph"/>
        <w:numPr>
          <w:ilvl w:val="0"/>
          <w:numId w:val="1"/>
        </w:numPr>
        <w:spacing w:after="0" w:line="240" w:lineRule="auto"/>
      </w:pPr>
      <w:r w:rsidRPr="00F0717A">
        <w:rPr>
          <w:b/>
        </w:rPr>
        <w:t xml:space="preserve">Information Governance Principle: </w:t>
      </w:r>
      <w:r>
        <w:t>Record Availability</w:t>
      </w:r>
    </w:p>
    <w:p w:rsidR="00F0717A" w:rsidRDefault="00F0717A" w:rsidP="003A4D62">
      <w:pPr>
        <w:spacing w:after="0" w:line="240" w:lineRule="auto"/>
      </w:pPr>
    </w:p>
    <w:p w:rsidR="00F0717A" w:rsidRDefault="00F0717A" w:rsidP="003A4D62">
      <w:pPr>
        <w:spacing w:after="0" w:line="240" w:lineRule="auto"/>
      </w:pPr>
      <w:r w:rsidRPr="00F0717A">
        <w:rPr>
          <w:b/>
          <w:u w:val="single"/>
        </w:rPr>
        <w:t>HIM Practice A1</w:t>
      </w:r>
      <w:r w:rsidRPr="00F0717A">
        <w:t>. All documents can be accounted for and the record closed as complete within  a specific time period post patient  discharge in accordance with State and Federal regulations, accreditation organizations (e.g. Joint Commission, Det Norske Veritas Healthcare - ISO 9000), or organizational policy.</w:t>
      </w:r>
      <w:r>
        <w:rPr>
          <w:rStyle w:val="FootnoteReference"/>
        </w:rPr>
        <w:footnoteReference w:id="1"/>
      </w:r>
      <w:r w:rsidRPr="00F0717A">
        <w:t xml:space="preserve"> [1, p.40]</w:t>
      </w:r>
    </w:p>
    <w:p w:rsidR="00DA560C" w:rsidRDefault="00DA560C" w:rsidP="003A4D62">
      <w:pPr>
        <w:spacing w:after="0" w:line="240" w:lineRule="auto"/>
        <w:rPr>
          <w:u w:val="single"/>
        </w:rPr>
      </w:pPr>
    </w:p>
    <w:p w:rsidR="005E3401" w:rsidRPr="00F0717A" w:rsidRDefault="00F0717A" w:rsidP="003A4D62">
      <w:pPr>
        <w:spacing w:after="0" w:line="240" w:lineRule="auto"/>
        <w:rPr>
          <w:u w:val="single"/>
        </w:rPr>
      </w:pPr>
      <w:r w:rsidRPr="00F0717A">
        <w:rPr>
          <w:u w:val="single"/>
        </w:rPr>
        <w:t xml:space="preserve">Use Case </w:t>
      </w:r>
      <w:r w:rsidR="005E3401" w:rsidRPr="00F0717A">
        <w:rPr>
          <w:u w:val="single"/>
        </w:rPr>
        <w:t>A1.1. All documents can be accounted for within a specific time period post patient discharge</w:t>
      </w:r>
      <w:r>
        <w:rPr>
          <w:u w:val="single"/>
        </w:rPr>
        <w:t>.</w:t>
      </w:r>
      <w:r w:rsidR="005E3401" w:rsidRPr="00F0717A">
        <w:rPr>
          <w:u w:val="single"/>
        </w:rPr>
        <w:t xml:space="preserve"> </w:t>
      </w:r>
    </w:p>
    <w:p w:rsidR="00DA560C" w:rsidRDefault="00DA560C" w:rsidP="003A4D62">
      <w:pPr>
        <w:spacing w:after="0" w:line="240" w:lineRule="auto"/>
      </w:pPr>
    </w:p>
    <w:p w:rsidR="00452C10" w:rsidRDefault="00452C10" w:rsidP="003A4D62">
      <w:pPr>
        <w:spacing w:after="0" w:line="240" w:lineRule="auto"/>
      </w:pPr>
      <w:r w:rsidRPr="00452C10">
        <w:rPr>
          <w:highlight w:val="yellow"/>
        </w:rPr>
        <w:t>A1.3  the record closed as complete within  a specific time period post patient  discharge [1, p.40]. – DEFINE IS THIS US A SEPARATE USE CASE – SEE COMPLETE, INCOMPLET, CANCELLED RECORDS BELOW</w:t>
      </w:r>
      <w:r w:rsidRPr="00452C10">
        <w:t xml:space="preserve"> </w:t>
      </w:r>
    </w:p>
    <w:p w:rsidR="00452C10" w:rsidRDefault="00452C10" w:rsidP="003A4D62">
      <w:pPr>
        <w:spacing w:after="0" w:line="240" w:lineRule="auto"/>
      </w:pPr>
    </w:p>
    <w:p w:rsidR="00F0717A" w:rsidRDefault="00F0717A" w:rsidP="003A4D62">
      <w:pPr>
        <w:spacing w:after="0" w:line="240" w:lineRule="auto"/>
      </w:pPr>
      <w:r>
        <w:t>The term "</w:t>
      </w:r>
      <w:r w:rsidRPr="00F0717A">
        <w:rPr>
          <w:u w:val="single"/>
        </w:rPr>
        <w:t>accounted</w:t>
      </w:r>
      <w:r w:rsidR="00ED3CAB" w:rsidRPr="00F0717A">
        <w:rPr>
          <w:u w:val="single"/>
        </w:rPr>
        <w:t xml:space="preserve"> for</w:t>
      </w:r>
      <w:r w:rsidR="00ED3CAB" w:rsidRPr="00ED3CAB">
        <w:t xml:space="preserve">" </w:t>
      </w:r>
      <w:r>
        <w:t xml:space="preserve">is defined as the following: </w:t>
      </w:r>
    </w:p>
    <w:p w:rsidR="00F0717A" w:rsidRDefault="00F0717A" w:rsidP="003A4D62">
      <w:pPr>
        <w:spacing w:after="0" w:line="240" w:lineRule="auto"/>
        <w:ind w:left="360"/>
      </w:pPr>
      <w:r>
        <w:t xml:space="preserve">System shall support </w:t>
      </w:r>
      <w:r w:rsidR="00ED3CAB" w:rsidRPr="00ED3CAB">
        <w:t xml:space="preserve">all types of medical records (paper and electronic) generated during a specified timeframe of </w:t>
      </w:r>
      <w:r w:rsidR="00DA560C">
        <w:t xml:space="preserve">an </w:t>
      </w:r>
      <w:r w:rsidR="00ED3CAB" w:rsidRPr="00ED3CAB">
        <w:t xml:space="preserve">encounter. </w:t>
      </w:r>
    </w:p>
    <w:p w:rsidR="00DA560C" w:rsidRDefault="00DA560C" w:rsidP="003A4D62">
      <w:pPr>
        <w:spacing w:after="0" w:line="240" w:lineRule="auto"/>
      </w:pPr>
    </w:p>
    <w:p w:rsidR="003A4D62" w:rsidRDefault="00ED3CAB" w:rsidP="003A4D62">
      <w:pPr>
        <w:spacing w:after="0" w:line="240" w:lineRule="auto"/>
      </w:pPr>
      <w:r w:rsidRPr="00ED3CAB">
        <w:t>The time period as well as the type of the record are defined by the type and duration of each specific function/event/step of care</w:t>
      </w:r>
      <w:r w:rsidR="003A4D62">
        <w:t xml:space="preserve"> within the encounter, i.e., </w:t>
      </w:r>
      <w:r w:rsidR="003A4D62" w:rsidRPr="00ED3CAB">
        <w:t>workflow steps and sub-steps</w:t>
      </w:r>
      <w:r w:rsidR="003A4D62">
        <w:t>. Th</w:t>
      </w:r>
      <w:r w:rsidR="00DA560C">
        <w:t>is</w:t>
      </w:r>
      <w:r w:rsidR="003A4D62">
        <w:t xml:space="preserve"> include</w:t>
      </w:r>
      <w:r w:rsidR="00DA560C">
        <w:t>s</w:t>
      </w:r>
      <w:r w:rsidR="003A4D62">
        <w:t xml:space="preserve"> </w:t>
      </w:r>
      <w:r w:rsidRPr="00452C10">
        <w:rPr>
          <w:u w:val="single"/>
        </w:rPr>
        <w:t xml:space="preserve">completed, </w:t>
      </w:r>
      <w:r w:rsidR="003A4D62" w:rsidRPr="00452C10">
        <w:rPr>
          <w:u w:val="single"/>
        </w:rPr>
        <w:t>incomplete</w:t>
      </w:r>
      <w:r w:rsidRPr="00452C10">
        <w:rPr>
          <w:u w:val="single"/>
        </w:rPr>
        <w:t xml:space="preserve"> or cancelled</w:t>
      </w:r>
      <w:r w:rsidR="003A4D62" w:rsidRPr="00452C10">
        <w:rPr>
          <w:u w:val="single"/>
        </w:rPr>
        <w:t xml:space="preserve"> records</w:t>
      </w:r>
      <w:r w:rsidRPr="00ED3CAB">
        <w:t xml:space="preserve"> of the encounter</w:t>
      </w:r>
      <w:r w:rsidR="003A4D62">
        <w:t>.</w:t>
      </w:r>
      <w:r w:rsidRPr="00ED3CAB">
        <w:t xml:space="preserve"> </w:t>
      </w:r>
      <w:r w:rsidR="003A4D62">
        <w:t xml:space="preserve"> The types of encounter include </w:t>
      </w:r>
    </w:p>
    <w:p w:rsidR="003A4D62" w:rsidRDefault="00ED3CAB" w:rsidP="003A4D62">
      <w:pPr>
        <w:pStyle w:val="ListParagraph"/>
        <w:numPr>
          <w:ilvl w:val="0"/>
          <w:numId w:val="2"/>
        </w:numPr>
        <w:spacing w:after="0" w:line="240" w:lineRule="auto"/>
      </w:pPr>
      <w:r w:rsidRPr="00ED3CAB">
        <w:t xml:space="preserve">visit registration/admission </w:t>
      </w:r>
    </w:p>
    <w:p w:rsidR="003A4D62" w:rsidRDefault="00ED3CAB" w:rsidP="003A4D62">
      <w:pPr>
        <w:pStyle w:val="ListParagraph"/>
        <w:numPr>
          <w:ilvl w:val="0"/>
          <w:numId w:val="2"/>
        </w:numPr>
        <w:spacing w:after="0" w:line="240" w:lineRule="auto"/>
      </w:pPr>
      <w:r w:rsidRPr="00ED3CAB">
        <w:t>triage</w:t>
      </w:r>
    </w:p>
    <w:p w:rsidR="003A4D62" w:rsidRDefault="00ED3CAB" w:rsidP="003A4D62">
      <w:pPr>
        <w:pStyle w:val="ListParagraph"/>
        <w:numPr>
          <w:ilvl w:val="0"/>
          <w:numId w:val="2"/>
        </w:numPr>
        <w:spacing w:after="0" w:line="240" w:lineRule="auto"/>
      </w:pPr>
      <w:r w:rsidRPr="00ED3CAB">
        <w:t xml:space="preserve">nurse's and physician's assessment  </w:t>
      </w:r>
    </w:p>
    <w:p w:rsidR="003A4D62" w:rsidRDefault="00ED3CAB" w:rsidP="003A4D62">
      <w:pPr>
        <w:pStyle w:val="ListParagraph"/>
        <w:numPr>
          <w:ilvl w:val="0"/>
          <w:numId w:val="2"/>
        </w:numPr>
        <w:spacing w:after="0" w:line="240" w:lineRule="auto"/>
      </w:pPr>
      <w:r w:rsidRPr="00ED3CAB">
        <w:t xml:space="preserve">laboratory and diagnostic testing </w:t>
      </w:r>
    </w:p>
    <w:p w:rsidR="00DA560C" w:rsidRDefault="00DA560C" w:rsidP="003A4D62">
      <w:pPr>
        <w:pStyle w:val="ListParagraph"/>
        <w:numPr>
          <w:ilvl w:val="0"/>
          <w:numId w:val="2"/>
        </w:numPr>
        <w:spacing w:after="0" w:line="240" w:lineRule="auto"/>
      </w:pPr>
      <w:r>
        <w:t>diagnosis and care plan</w:t>
      </w:r>
    </w:p>
    <w:p w:rsidR="003A4D62" w:rsidRDefault="00ED3CAB" w:rsidP="003A4D62">
      <w:pPr>
        <w:pStyle w:val="ListParagraph"/>
        <w:numPr>
          <w:ilvl w:val="0"/>
          <w:numId w:val="2"/>
        </w:numPr>
        <w:spacing w:after="0" w:line="240" w:lineRule="auto"/>
      </w:pPr>
      <w:r w:rsidRPr="00ED3CAB">
        <w:t xml:space="preserve">prescription </w:t>
      </w:r>
    </w:p>
    <w:p w:rsidR="003A4D62" w:rsidRDefault="00ED3CAB" w:rsidP="003A4D62">
      <w:pPr>
        <w:pStyle w:val="ListParagraph"/>
        <w:numPr>
          <w:ilvl w:val="0"/>
          <w:numId w:val="2"/>
        </w:numPr>
        <w:spacing w:after="0" w:line="240" w:lineRule="auto"/>
      </w:pPr>
      <w:r w:rsidRPr="00ED3CAB">
        <w:t xml:space="preserve">discharge/transfer/disposition and </w:t>
      </w:r>
    </w:p>
    <w:p w:rsidR="003A4D62" w:rsidRDefault="00ED3CAB" w:rsidP="003A4D62">
      <w:pPr>
        <w:pStyle w:val="ListParagraph"/>
        <w:numPr>
          <w:ilvl w:val="0"/>
          <w:numId w:val="2"/>
        </w:numPr>
        <w:spacing w:after="0" w:line="240" w:lineRule="auto"/>
      </w:pPr>
      <w:r w:rsidRPr="00ED3CAB">
        <w:t xml:space="preserve">other.  </w:t>
      </w:r>
    </w:p>
    <w:p w:rsidR="003A4D62" w:rsidRDefault="003A4D62" w:rsidP="003A4D62">
      <w:pPr>
        <w:spacing w:after="0" w:line="240" w:lineRule="auto"/>
      </w:pPr>
    </w:p>
    <w:p w:rsidR="003A4D62" w:rsidRDefault="003A4D62" w:rsidP="003A4D62">
      <w:pPr>
        <w:spacing w:after="0" w:line="240" w:lineRule="auto"/>
      </w:pPr>
      <w:r>
        <w:t xml:space="preserve">Figure 1 presents the examples of the encounter, its functions and </w:t>
      </w:r>
      <w:r w:rsidR="00DA560C">
        <w:t>records/</w:t>
      </w:r>
      <w:r>
        <w:t>documents.</w:t>
      </w:r>
    </w:p>
    <w:p w:rsidR="003A4D62" w:rsidRDefault="00766F22" w:rsidP="003A4D62">
      <w:pPr>
        <w:spacing w:after="0" w:line="240" w:lineRule="auto"/>
      </w:pPr>
      <w:r>
        <w:rPr>
          <w:noProof/>
          <w:lang w:eastAsia="zh-TW"/>
        </w:rPr>
        <w:pict>
          <v:shapetype id="_x0000_t202" coordsize="21600,21600" o:spt="202" path="m,l,21600r21600,l21600,xe">
            <v:stroke joinstyle="miter"/>
            <v:path gradientshapeok="t" o:connecttype="rect"/>
          </v:shapetype>
          <v:shape id="_x0000_s1026" type="#_x0000_t202" style="position:absolute;margin-left:0;margin-top:0;width:406.15pt;height:148.75pt;z-index:251660288;mso-position-horizontal:center;mso-width-relative:margin;mso-height-relative:margin">
            <v:textbox>
              <w:txbxContent>
                <w:p w:rsidR="003E1F59" w:rsidRDefault="003E1F59">
                  <w:r w:rsidRPr="00DA560C">
                    <w:rPr>
                      <w:noProof/>
                    </w:rPr>
                    <w:drawing>
                      <wp:inline distT="0" distB="0" distL="0" distR="0">
                        <wp:extent cx="5057775" cy="1838325"/>
                        <wp:effectExtent l="0" t="0" r="0" b="0"/>
                        <wp:docPr id="3" name="Object 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9144000" cy="2743200"/>
                                  <a:chOff x="0" y="0"/>
                                  <a:chExt cx="9144000" cy="2743200"/>
                                </a:xfrm>
                              </a:grpSpPr>
                              <a:sp>
                                <a:nvSpPr>
                                  <a:cNvPr id="2" name="Title 1"/>
                                  <a:cNvSpPr>
                                    <a:spLocks noGrp="1"/>
                                  </a:cNvSpPr>
                                </a:nvSpPr>
                                <a:spPr>
                                  <a:xfrm>
                                    <a:off x="0" y="0"/>
                                    <a:ext cx="9144000" cy="381000"/>
                                  </a:xfrm>
                                  <a:prstGeom prst="rect">
                                    <a:avLst/>
                                  </a:prstGeom>
                                </a:spPr>
                                <a:txSp>
                                  <a:txBody>
                                    <a:bodyPr vert="horz" lIns="91440" tIns="45720" rIns="91440" bIns="45720" rtlCol="0" anchor="ctr">
                                      <a:noAutofit/>
                                    </a:bodyPr>
                                    <a:lstStyle>
                                      <a:lvl1pPr algn="l" defTabSz="457200" rtl="0" eaLnBrk="1" latinLnBrk="0" hangingPunct="1">
                                        <a:spcBef>
                                          <a:spcPct val="0"/>
                                        </a:spcBef>
                                        <a:buNone/>
                                        <a:defRPr sz="4400" kern="1200">
                                          <a:solidFill>
                                            <a:srgbClr val="8C2638"/>
                                          </a:solidFill>
                                          <a:latin typeface="+mj-lt"/>
                                          <a:ea typeface="+mj-ea"/>
                                          <a:cs typeface="+mj-cs"/>
                                        </a:defRPr>
                                      </a:lvl1pPr>
                                    </a:lstStyle>
                                    <a:p>
                                      <a:pPr algn="ctr"/>
                                      <a:r>
                                        <a:rPr lang="en-US" sz="2000" b="1" dirty="0" smtClean="0">
                                          <a:solidFill>
                                            <a:schemeClr val="tx2"/>
                                          </a:solidFill>
                                        </a:rPr>
                                        <a:t>Information Governance Principle: Record Availability</a:t>
                                      </a:r>
                                      <a:endParaRPr lang="en-US" sz="1800" b="1" dirty="0">
                                        <a:solidFill>
                                          <a:schemeClr val="tx2"/>
                                        </a:solidFill>
                                      </a:endParaRPr>
                                    </a:p>
                                  </a:txBody>
                                  <a:useSpRect/>
                                </a:txSp>
                              </a:sp>
                              <a:sp>
                                <a:nvSpPr>
                                  <a:cNvPr id="5" name="TextBox 4"/>
                                  <a:cNvSpPr txBox="1"/>
                                </a:nvSpPr>
                                <a:spPr>
                                  <a:xfrm>
                                    <a:off x="2057400" y="1143000"/>
                                    <a:ext cx="6019800" cy="369332"/>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dirty="0" smtClean="0"/>
                                        <a:t>Clinical Encounter </a:t>
                                      </a:r>
                                      <a:r>
                                        <a:rPr lang="en-US" dirty="0" smtClean="0"/>
                                        <a:t>Functions and Records/Documents </a:t>
                                      </a:r>
                                      <a:r>
                                        <a:rPr lang="en-US" dirty="0" smtClean="0"/>
                                        <a:t>Flow</a:t>
                                      </a:r>
                                    </a:p>
                                  </a:txBody>
                                  <a:useSpRect/>
                                </a:txSp>
                              </a:sp>
                              <a:sp>
                                <a:nvSpPr>
                                  <a:cNvPr id="12" name="Flowchart: Multidocument 11"/>
                                  <a:cNvSpPr/>
                                </a:nvSpPr>
                                <a:spPr>
                                  <a:xfrm>
                                    <a:off x="1676400" y="2209800"/>
                                    <a:ext cx="914400" cy="533400"/>
                                  </a:xfrm>
                                  <a:prstGeom prst="flowChartMultidocument">
                                    <a:avLst/>
                                  </a:prstGeom>
                                  <a:solidFill>
                                    <a:srgbClr val="FFFF99"/>
                                  </a:solid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1400" dirty="0" smtClean="0">
                                          <a:solidFill>
                                            <a:schemeClr val="tx1"/>
                                          </a:solidFill>
                                        </a:rPr>
                                        <a:t>Records</a:t>
                                      </a:r>
                                      <a:endParaRPr lang="en-US" sz="1400" dirty="0">
                                        <a:solidFill>
                                          <a:schemeClr val="tx1"/>
                                        </a:solidFill>
                                      </a:endParaRPr>
                                    </a:p>
                                  </a:txBody>
                                  <a:useSpRect/>
                                </a:txSp>
                                <a:style>
                                  <a:lnRef idx="1">
                                    <a:schemeClr val="accent3"/>
                                  </a:lnRef>
                                  <a:fillRef idx="3">
                                    <a:schemeClr val="accent3"/>
                                  </a:fillRef>
                                  <a:effectRef idx="2">
                                    <a:schemeClr val="accent3"/>
                                  </a:effectRef>
                                  <a:fontRef idx="minor">
                                    <a:schemeClr val="lt1"/>
                                  </a:fontRef>
                                </a:style>
                              </a:sp>
                              <a:sp>
                                <a:nvSpPr>
                                  <a:cNvPr id="25" name="Rectangle 24"/>
                                  <a:cNvSpPr/>
                                </a:nvSpPr>
                                <a:spPr>
                                  <a:xfrm>
                                    <a:off x="228600" y="2362200"/>
                                    <a:ext cx="1066800" cy="381000"/>
                                  </a:xfrm>
                                  <a:prstGeom prst="rect">
                                    <a:avLst/>
                                  </a:prstGeom>
                                  <a:noFill/>
                                  <a:ln>
                                    <a:no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dirty="0" smtClean="0">
                                          <a:solidFill>
                                            <a:schemeClr val="tx2">
                                              <a:lumMod val="75000"/>
                                            </a:schemeClr>
                                          </a:solidFill>
                                        </a:rPr>
                                        <a:t>Records</a:t>
                                      </a:r>
                                      <a:endParaRPr lang="en-US" dirty="0">
                                        <a:solidFill>
                                          <a:schemeClr val="tx2">
                                            <a:lumMod val="75000"/>
                                          </a:schemeClr>
                                        </a:solidFill>
                                      </a:endParaRPr>
                                    </a:p>
                                  </a:txBody>
                                  <a:useSpRect/>
                                </a:txSp>
                                <a:style>
                                  <a:lnRef idx="1">
                                    <a:schemeClr val="accent1"/>
                                  </a:lnRef>
                                  <a:fillRef idx="3">
                                    <a:schemeClr val="accent1"/>
                                  </a:fillRef>
                                  <a:effectRef idx="2">
                                    <a:schemeClr val="accent1"/>
                                  </a:effectRef>
                                  <a:fontRef idx="minor">
                                    <a:schemeClr val="lt1"/>
                                  </a:fontRef>
                                </a:style>
                              </a:sp>
                              <a:sp>
                                <a:nvSpPr>
                                  <a:cNvPr id="33" name="TextBox 32"/>
                                  <a:cNvSpPr txBox="1"/>
                                </a:nvSpPr>
                                <a:spPr>
                                  <a:xfrm>
                                    <a:off x="0" y="1371600"/>
                                    <a:ext cx="1600200" cy="830997"/>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sz="1600" b="1" dirty="0" smtClean="0">
                                          <a:solidFill>
                                            <a:schemeClr val="accent1">
                                              <a:lumMod val="50000"/>
                                            </a:schemeClr>
                                          </a:solidFill>
                                        </a:rPr>
                                        <a:t>Clinical </a:t>
                                      </a:r>
                                      <a:r>
                                        <a:rPr lang="en-US" sz="1600" b="1" dirty="0" smtClean="0">
                                          <a:solidFill>
                                            <a:schemeClr val="accent1">
                                              <a:lumMod val="50000"/>
                                            </a:schemeClr>
                                          </a:solidFill>
                                        </a:rPr>
                                        <a:t>Encounter’s Functions</a:t>
                                      </a:r>
                                      <a:endParaRPr lang="en-US" sz="1600" b="1" dirty="0" smtClean="0">
                                        <a:solidFill>
                                          <a:schemeClr val="accent1">
                                            <a:lumMod val="50000"/>
                                          </a:schemeClr>
                                        </a:solidFill>
                                      </a:endParaRPr>
                                    </a:p>
                                  </a:txBody>
                                  <a:useSpRect/>
                                </a:txSp>
                              </a:sp>
                              <a:graphicFrame>
                                <a:nvGraphicFramePr>
                                  <a:cNvPr id="35" name="Diagram 34"/>
                                  <a:cNvGraphicFramePr/>
                                </a:nvGraphicFramePr>
                                <a:graphic>
                                  <a:graphicData uri="http://schemas.openxmlformats.org/drawingml/2006/diagram">
                                    <dgm:relIds xmlns:dgm="http://schemas.openxmlformats.org/drawingml/2006/diagram" xmlns:r="http://schemas.openxmlformats.org/officeDocument/2006/relationships" r:dm="rId8" r:lo="rId9" r:qs="rId10" r:cs="rId11"/>
                                  </a:graphicData>
                                </a:graphic>
                                <a:xfrm>
                                  <a:off x="1524000" y="1447800"/>
                                  <a:ext cx="7391400" cy="762000"/>
                                </a:xfrm>
                              </a:graphicFrame>
                              <a:sp>
                                <a:nvSpPr>
                                  <a:cNvPr id="43" name="Flowchart: Multidocument 42"/>
                                  <a:cNvSpPr/>
                                </a:nvSpPr>
                                <a:spPr>
                                  <a:xfrm>
                                    <a:off x="2895600" y="2209800"/>
                                    <a:ext cx="914400" cy="533400"/>
                                  </a:xfrm>
                                  <a:prstGeom prst="flowChartMultidocument">
                                    <a:avLst/>
                                  </a:prstGeom>
                                  <a:solidFill>
                                    <a:srgbClr val="FFFF99"/>
                                  </a:solid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1400" dirty="0" smtClean="0">
                                          <a:solidFill>
                                            <a:schemeClr val="tx1"/>
                                          </a:solidFill>
                                        </a:rPr>
                                        <a:t>Records</a:t>
                                      </a:r>
                                      <a:endParaRPr lang="en-US" sz="1400" dirty="0">
                                        <a:solidFill>
                                          <a:schemeClr val="tx1"/>
                                        </a:solidFill>
                                      </a:endParaRPr>
                                    </a:p>
                                  </a:txBody>
                                  <a:useSpRect/>
                                </a:txSp>
                                <a:style>
                                  <a:lnRef idx="1">
                                    <a:schemeClr val="accent3"/>
                                  </a:lnRef>
                                  <a:fillRef idx="3">
                                    <a:schemeClr val="accent3"/>
                                  </a:fillRef>
                                  <a:effectRef idx="2">
                                    <a:schemeClr val="accent3"/>
                                  </a:effectRef>
                                  <a:fontRef idx="minor">
                                    <a:schemeClr val="lt1"/>
                                  </a:fontRef>
                                </a:style>
                              </a:sp>
                              <a:sp>
                                <a:nvSpPr>
                                  <a:cNvPr id="45" name="Flowchart: Multidocument 44"/>
                                  <a:cNvSpPr/>
                                </a:nvSpPr>
                                <a:spPr>
                                  <a:xfrm>
                                    <a:off x="4038600" y="2209800"/>
                                    <a:ext cx="914400" cy="533400"/>
                                  </a:xfrm>
                                  <a:prstGeom prst="flowChartMultidocument">
                                    <a:avLst/>
                                  </a:prstGeom>
                                  <a:solidFill>
                                    <a:srgbClr val="FFFF99"/>
                                  </a:solid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1400" dirty="0" smtClean="0">
                                          <a:solidFill>
                                            <a:schemeClr val="tx1"/>
                                          </a:solidFill>
                                        </a:rPr>
                                        <a:t>Records</a:t>
                                      </a:r>
                                      <a:endParaRPr lang="en-US" sz="1400" dirty="0">
                                        <a:solidFill>
                                          <a:schemeClr val="tx1"/>
                                        </a:solidFill>
                                      </a:endParaRPr>
                                    </a:p>
                                  </a:txBody>
                                  <a:useSpRect/>
                                </a:txSp>
                                <a:style>
                                  <a:lnRef idx="1">
                                    <a:schemeClr val="accent3"/>
                                  </a:lnRef>
                                  <a:fillRef idx="3">
                                    <a:schemeClr val="accent3"/>
                                  </a:fillRef>
                                  <a:effectRef idx="2">
                                    <a:schemeClr val="accent3"/>
                                  </a:effectRef>
                                  <a:fontRef idx="minor">
                                    <a:schemeClr val="lt1"/>
                                  </a:fontRef>
                                </a:style>
                              </a:sp>
                              <a:sp>
                                <a:nvSpPr>
                                  <a:cNvPr id="46" name="Flowchart: Multidocument 45"/>
                                  <a:cNvSpPr/>
                                </a:nvSpPr>
                                <a:spPr>
                                  <a:xfrm>
                                    <a:off x="5257800" y="2209800"/>
                                    <a:ext cx="914400" cy="533400"/>
                                  </a:xfrm>
                                  <a:prstGeom prst="flowChartMultidocument">
                                    <a:avLst/>
                                  </a:prstGeom>
                                  <a:solidFill>
                                    <a:srgbClr val="FFFF99"/>
                                  </a:solid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1400" dirty="0" smtClean="0">
                                          <a:solidFill>
                                            <a:schemeClr val="tx1"/>
                                          </a:solidFill>
                                        </a:rPr>
                                        <a:t>Records</a:t>
                                      </a:r>
                                      <a:endParaRPr lang="en-US" sz="1400" dirty="0">
                                        <a:solidFill>
                                          <a:schemeClr val="tx1"/>
                                        </a:solidFill>
                                      </a:endParaRPr>
                                    </a:p>
                                  </a:txBody>
                                  <a:useSpRect/>
                                </a:txSp>
                                <a:style>
                                  <a:lnRef idx="1">
                                    <a:schemeClr val="accent3"/>
                                  </a:lnRef>
                                  <a:fillRef idx="3">
                                    <a:schemeClr val="accent3"/>
                                  </a:fillRef>
                                  <a:effectRef idx="2">
                                    <a:schemeClr val="accent3"/>
                                  </a:effectRef>
                                  <a:fontRef idx="minor">
                                    <a:schemeClr val="lt1"/>
                                  </a:fontRef>
                                </a:style>
                              </a:sp>
                              <a:sp>
                                <a:nvSpPr>
                                  <a:cNvPr id="47" name="Flowchart: Multidocument 46"/>
                                  <a:cNvSpPr/>
                                </a:nvSpPr>
                                <a:spPr>
                                  <a:xfrm>
                                    <a:off x="6477000" y="2209800"/>
                                    <a:ext cx="914400" cy="533400"/>
                                  </a:xfrm>
                                  <a:prstGeom prst="flowChartMultidocument">
                                    <a:avLst/>
                                  </a:prstGeom>
                                  <a:solidFill>
                                    <a:srgbClr val="FFFF99"/>
                                  </a:solid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1400" dirty="0" smtClean="0">
                                          <a:solidFill>
                                            <a:schemeClr val="tx1"/>
                                          </a:solidFill>
                                        </a:rPr>
                                        <a:t>Records</a:t>
                                      </a:r>
                                      <a:endParaRPr lang="en-US" sz="1400" dirty="0">
                                        <a:solidFill>
                                          <a:schemeClr val="tx1"/>
                                        </a:solidFill>
                                      </a:endParaRPr>
                                    </a:p>
                                  </a:txBody>
                                  <a:useSpRect/>
                                </a:txSp>
                                <a:style>
                                  <a:lnRef idx="1">
                                    <a:schemeClr val="accent3"/>
                                  </a:lnRef>
                                  <a:fillRef idx="3">
                                    <a:schemeClr val="accent3"/>
                                  </a:fillRef>
                                  <a:effectRef idx="2">
                                    <a:schemeClr val="accent3"/>
                                  </a:effectRef>
                                  <a:fontRef idx="minor">
                                    <a:schemeClr val="lt1"/>
                                  </a:fontRef>
                                </a:style>
                              </a:sp>
                              <a:sp>
                                <a:nvSpPr>
                                  <a:cNvPr id="48" name="Flowchart: Multidocument 47"/>
                                  <a:cNvSpPr/>
                                </a:nvSpPr>
                                <a:spPr>
                                  <a:xfrm>
                                    <a:off x="7696200" y="2209800"/>
                                    <a:ext cx="914400" cy="533400"/>
                                  </a:xfrm>
                                  <a:prstGeom prst="flowChartMultidocument">
                                    <a:avLst/>
                                  </a:prstGeom>
                                  <a:solidFill>
                                    <a:srgbClr val="FFFF99"/>
                                  </a:solid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1400" dirty="0" smtClean="0">
                                          <a:solidFill>
                                            <a:schemeClr val="tx1"/>
                                          </a:solidFill>
                                        </a:rPr>
                                        <a:t>Records</a:t>
                                      </a:r>
                                      <a:endParaRPr lang="en-US" sz="1400" dirty="0">
                                        <a:solidFill>
                                          <a:schemeClr val="tx1"/>
                                        </a:solidFill>
                                      </a:endParaRPr>
                                    </a:p>
                                  </a:txBody>
                                  <a:useSpRect/>
                                </a:txSp>
                                <a:style>
                                  <a:lnRef idx="1">
                                    <a:schemeClr val="accent3"/>
                                  </a:lnRef>
                                  <a:fillRef idx="3">
                                    <a:schemeClr val="accent3"/>
                                  </a:fillRef>
                                  <a:effectRef idx="2">
                                    <a:schemeClr val="accent3"/>
                                  </a:effectRef>
                                  <a:fontRef idx="minor">
                                    <a:schemeClr val="lt1"/>
                                  </a:fontRef>
                                </a:style>
                              </a:sp>
                              <a:sp>
                                <a:nvSpPr>
                                  <a:cNvPr id="50" name="Title 1"/>
                                  <a:cNvSpPr txBox="1">
                                    <a:spLocks/>
                                  </a:cNvSpPr>
                                </a:nvSpPr>
                                <a:spPr>
                                  <a:xfrm>
                                    <a:off x="0" y="457200"/>
                                    <a:ext cx="9144000" cy="609600"/>
                                  </a:xfrm>
                                  <a:prstGeom prst="rect">
                                    <a:avLst/>
                                  </a:prstGeom>
                                </a:spPr>
                                <a:txSp>
                                  <a:txBody>
                                    <a:bodyPr vert="horz" lIns="91440" tIns="45720" rIns="91440" bIns="45720" rtlCol="0" anchor="ctr">
                                      <a:no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457200" rtl="0" eaLnBrk="1" fontAlgn="auto" latinLnBrk="0" hangingPunct="1">
                                        <a:lnSpc>
                                          <a:spcPct val="100000"/>
                                        </a:lnSpc>
                                        <a:spcBef>
                                          <a:spcPct val="0"/>
                                        </a:spcBef>
                                        <a:spcAft>
                                          <a:spcPts val="0"/>
                                        </a:spcAft>
                                        <a:buClrTx/>
                                        <a:buSzTx/>
                                        <a:buFontTx/>
                                        <a:buNone/>
                                        <a:tabLst/>
                                        <a:defRPr/>
                                      </a:pPr>
                                      <a:r>
                                        <a:rPr kumimoji="0" lang="en-US" sz="2000" b="1" i="0" u="none" strike="noStrike" kern="1200" cap="none" spc="0" normalizeH="0" baseline="0" noProof="0" dirty="0" smtClean="0">
                                          <a:ln>
                                            <a:noFill/>
                                          </a:ln>
                                          <a:solidFill>
                                            <a:schemeClr val="accent2">
                                              <a:lumMod val="50000"/>
                                            </a:schemeClr>
                                          </a:solidFill>
                                          <a:effectLst/>
                                          <a:uLnTx/>
                                          <a:uFillTx/>
                                          <a:latin typeface="+mj-lt"/>
                                          <a:ea typeface="+mj-ea"/>
                                          <a:cs typeface="+mj-cs"/>
                                        </a:rPr>
                                        <a:t>HIM Practice A1. All documents are accounted for</a:t>
                                      </a:r>
                                      <a:br>
                                        <a:rPr kumimoji="0" lang="en-US" sz="2000" b="1" i="0" u="none" strike="noStrike" kern="1200" cap="none" spc="0" normalizeH="0" baseline="0" noProof="0" dirty="0" smtClean="0">
                                          <a:ln>
                                            <a:noFill/>
                                          </a:ln>
                                          <a:solidFill>
                                            <a:schemeClr val="accent2">
                                              <a:lumMod val="50000"/>
                                            </a:schemeClr>
                                          </a:solidFill>
                                          <a:effectLst/>
                                          <a:uLnTx/>
                                          <a:uFillTx/>
                                          <a:latin typeface="+mj-lt"/>
                                          <a:ea typeface="+mj-ea"/>
                                          <a:cs typeface="+mj-cs"/>
                                        </a:rPr>
                                      </a:br>
                                      <a:r>
                                        <a:rPr kumimoji="0" lang="en-US" sz="1800" b="1" i="0" u="none" strike="noStrike" kern="1200" cap="none" spc="0" normalizeH="0" baseline="0" noProof="0" dirty="0" smtClean="0">
                                          <a:ln>
                                            <a:noFill/>
                                          </a:ln>
                                          <a:solidFill>
                                            <a:schemeClr val="accent2">
                                              <a:lumMod val="50000"/>
                                            </a:schemeClr>
                                          </a:solidFill>
                                          <a:effectLst/>
                                          <a:uLnTx/>
                                          <a:uFillTx/>
                                          <a:latin typeface="+mj-lt"/>
                                          <a:ea typeface="+mj-ea"/>
                                          <a:cs typeface="+mj-cs"/>
                                        </a:rPr>
                                        <a:t>Use Case  A1.1: All documents are accounted for in a specific timeframe after discharge </a:t>
                                      </a:r>
                                      <a:endParaRPr kumimoji="0" lang="en-US" sz="1800" b="1" i="0" u="none" strike="noStrike" kern="1200" cap="none" spc="0" normalizeH="0" baseline="0" noProof="0" dirty="0">
                                        <a:ln>
                                          <a:noFill/>
                                        </a:ln>
                                        <a:solidFill>
                                          <a:schemeClr val="accent2">
                                            <a:lumMod val="50000"/>
                                          </a:schemeClr>
                                        </a:solidFill>
                                        <a:effectLst/>
                                        <a:uLnTx/>
                                        <a:uFillTx/>
                                        <a:latin typeface="+mj-lt"/>
                                        <a:ea typeface="+mj-ea"/>
                                        <a:cs typeface="+mj-cs"/>
                                      </a:endParaRPr>
                                    </a:p>
                                  </a:txBody>
                                  <a:useSpRect/>
                                </a:txSp>
                              </a:sp>
                            </lc:lockedCanvas>
                          </a:graphicData>
                        </a:graphic>
                      </wp:inline>
                    </w:drawing>
                  </w:r>
                </w:p>
              </w:txbxContent>
            </v:textbox>
          </v:shape>
        </w:pict>
      </w:r>
    </w:p>
    <w:p w:rsidR="00DA560C" w:rsidRDefault="00DA560C" w:rsidP="003A4D62">
      <w:pPr>
        <w:spacing w:after="0" w:line="240" w:lineRule="auto"/>
      </w:pPr>
    </w:p>
    <w:p w:rsidR="00DA560C" w:rsidRDefault="00DA560C" w:rsidP="003A4D62">
      <w:pPr>
        <w:spacing w:after="0" w:line="240" w:lineRule="auto"/>
      </w:pPr>
    </w:p>
    <w:p w:rsidR="00DA560C" w:rsidRDefault="00DA560C" w:rsidP="003A4D62">
      <w:pPr>
        <w:spacing w:after="0" w:line="240" w:lineRule="auto"/>
      </w:pPr>
    </w:p>
    <w:p w:rsidR="00DA560C" w:rsidRDefault="00DA560C" w:rsidP="003A4D62">
      <w:pPr>
        <w:spacing w:after="0" w:line="240" w:lineRule="auto"/>
      </w:pPr>
    </w:p>
    <w:p w:rsidR="00DA560C" w:rsidRDefault="00DA560C" w:rsidP="003A4D62">
      <w:pPr>
        <w:spacing w:after="0" w:line="240" w:lineRule="auto"/>
      </w:pPr>
    </w:p>
    <w:p w:rsidR="00DA560C" w:rsidRDefault="00DA560C" w:rsidP="003A4D62">
      <w:pPr>
        <w:spacing w:after="0" w:line="240" w:lineRule="auto"/>
      </w:pPr>
    </w:p>
    <w:p w:rsidR="00DA560C" w:rsidRDefault="00DA560C" w:rsidP="003A4D62">
      <w:pPr>
        <w:spacing w:after="0" w:line="240" w:lineRule="auto"/>
      </w:pPr>
    </w:p>
    <w:p w:rsidR="00DA560C" w:rsidRDefault="00DA560C" w:rsidP="003A4D62">
      <w:pPr>
        <w:spacing w:after="0" w:line="240" w:lineRule="auto"/>
      </w:pPr>
    </w:p>
    <w:p w:rsidR="00DA560C" w:rsidRDefault="00DA560C" w:rsidP="003A4D62">
      <w:pPr>
        <w:spacing w:after="0" w:line="240" w:lineRule="auto"/>
      </w:pPr>
    </w:p>
    <w:p w:rsidR="00DA560C" w:rsidRDefault="00DA560C" w:rsidP="003A4D62">
      <w:pPr>
        <w:spacing w:after="0" w:line="240" w:lineRule="auto"/>
      </w:pPr>
    </w:p>
    <w:p w:rsidR="00DA560C" w:rsidRDefault="00DA560C" w:rsidP="003A4D62">
      <w:pPr>
        <w:spacing w:after="0" w:line="240" w:lineRule="auto"/>
      </w:pPr>
    </w:p>
    <w:p w:rsidR="00DA560C" w:rsidRDefault="00DA560C" w:rsidP="00DA560C">
      <w:pPr>
        <w:spacing w:after="0" w:line="240" w:lineRule="auto"/>
        <w:jc w:val="center"/>
      </w:pPr>
      <w:r>
        <w:t xml:space="preserve">Figure 1. Example of </w:t>
      </w:r>
      <w:r w:rsidR="00452C10">
        <w:t>E</w:t>
      </w:r>
      <w:r>
        <w:t xml:space="preserve">ncounter, its </w:t>
      </w:r>
      <w:r w:rsidR="00452C10">
        <w:t>F</w:t>
      </w:r>
      <w:r>
        <w:t xml:space="preserve">unctions and </w:t>
      </w:r>
      <w:r w:rsidR="00452C10">
        <w:t>R</w:t>
      </w:r>
      <w:r>
        <w:t>ecords/</w:t>
      </w:r>
      <w:r w:rsidR="00452C10">
        <w:t>D</w:t>
      </w:r>
      <w:r>
        <w:t>ocuments</w:t>
      </w:r>
    </w:p>
    <w:p w:rsidR="00DA560C" w:rsidRDefault="00ED3CAB" w:rsidP="003A4D62">
      <w:pPr>
        <w:spacing w:after="0" w:line="240" w:lineRule="auto"/>
      </w:pPr>
      <w:r w:rsidRPr="00ED3CAB">
        <w:lastRenderedPageBreak/>
        <w:t>The decision on the list of the documents that will be accounted for is made by the facility's Form Management Committee</w:t>
      </w:r>
      <w:r w:rsidR="00DA560C">
        <w:rPr>
          <w:rStyle w:val="FootnoteReference"/>
        </w:rPr>
        <w:footnoteReference w:id="2"/>
      </w:r>
      <w:r w:rsidR="00DA560C" w:rsidRPr="00DA560C">
        <w:rPr>
          <w:vertAlign w:val="superscript"/>
        </w:rPr>
        <w:t>,</w:t>
      </w:r>
      <w:r w:rsidR="00DA560C">
        <w:rPr>
          <w:rStyle w:val="FootnoteReference"/>
        </w:rPr>
        <w:footnoteReference w:id="3"/>
      </w:r>
      <w:r w:rsidRPr="00ED3CAB">
        <w:t xml:space="preserve"> comprised of representatives from clinical, business an</w:t>
      </w:r>
      <w:r w:rsidR="00DA560C">
        <w:t>d technology departments</w:t>
      </w:r>
      <w:r w:rsidR="006C0F49">
        <w:t xml:space="preserve">. These </w:t>
      </w:r>
      <w:r w:rsidR="00DA560C">
        <w:t>business actors includ</w:t>
      </w:r>
      <w:r w:rsidR="006C0F49">
        <w:t>e</w:t>
      </w:r>
    </w:p>
    <w:p w:rsidR="006C0F49" w:rsidRDefault="00ED3CAB" w:rsidP="006C0F49">
      <w:pPr>
        <w:pStyle w:val="ListParagraph"/>
        <w:numPr>
          <w:ilvl w:val="0"/>
          <w:numId w:val="3"/>
        </w:numPr>
        <w:spacing w:after="0" w:line="240" w:lineRule="auto"/>
      </w:pPr>
      <w:r w:rsidRPr="00ED3CAB">
        <w:t xml:space="preserve">patient care </w:t>
      </w:r>
      <w:r w:rsidR="006C0F49">
        <w:t xml:space="preserve">providers </w:t>
      </w:r>
    </w:p>
    <w:p w:rsidR="006C0F49" w:rsidRDefault="006C0F49" w:rsidP="006C0F49">
      <w:pPr>
        <w:pStyle w:val="ListParagraph"/>
        <w:numPr>
          <w:ilvl w:val="1"/>
          <w:numId w:val="3"/>
        </w:numPr>
        <w:spacing w:after="0" w:line="240" w:lineRule="auto"/>
      </w:pPr>
      <w:r>
        <w:t xml:space="preserve">clinicians and </w:t>
      </w:r>
    </w:p>
    <w:p w:rsidR="00DA560C" w:rsidRDefault="006C0F49" w:rsidP="006C0F49">
      <w:pPr>
        <w:pStyle w:val="ListParagraph"/>
        <w:numPr>
          <w:ilvl w:val="1"/>
          <w:numId w:val="3"/>
        </w:numPr>
        <w:spacing w:after="0" w:line="240" w:lineRule="auto"/>
      </w:pPr>
      <w:r>
        <w:t>staff who supports ancillary services (laboratory, radiology, pharmacy, etc.)</w:t>
      </w:r>
      <w:r w:rsidR="00ED3CAB" w:rsidRPr="00ED3CAB">
        <w:t xml:space="preserve"> </w:t>
      </w:r>
    </w:p>
    <w:p w:rsidR="00DA560C" w:rsidRDefault="00ED3CAB" w:rsidP="006C0F49">
      <w:pPr>
        <w:pStyle w:val="ListParagraph"/>
        <w:numPr>
          <w:ilvl w:val="0"/>
          <w:numId w:val="3"/>
        </w:numPr>
        <w:spacing w:after="0" w:line="240" w:lineRule="auto"/>
      </w:pPr>
      <w:r w:rsidRPr="00ED3CAB">
        <w:t xml:space="preserve">medical group administrators  </w:t>
      </w:r>
    </w:p>
    <w:p w:rsidR="006C0F49" w:rsidRPr="00ED3CAB" w:rsidRDefault="00ED3CAB" w:rsidP="006C0F49">
      <w:pPr>
        <w:pStyle w:val="ListParagraph"/>
        <w:numPr>
          <w:ilvl w:val="0"/>
          <w:numId w:val="3"/>
        </w:numPr>
        <w:spacing w:after="0" w:line="240" w:lineRule="auto"/>
      </w:pPr>
      <w:r w:rsidRPr="00ED3CAB">
        <w:t>medical information services</w:t>
      </w:r>
      <w:r w:rsidR="00DA560C">
        <w:t xml:space="preserve"> directors</w:t>
      </w:r>
      <w:r w:rsidRPr="00ED3CAB">
        <w:t xml:space="preserve"> </w:t>
      </w:r>
    </w:p>
    <w:p w:rsidR="006C0F49" w:rsidRDefault="00ED3CAB" w:rsidP="006C0F49">
      <w:pPr>
        <w:pStyle w:val="ListParagraph"/>
        <w:numPr>
          <w:ilvl w:val="0"/>
          <w:numId w:val="3"/>
        </w:numPr>
        <w:spacing w:after="0" w:line="240" w:lineRule="auto"/>
      </w:pPr>
      <w:r w:rsidRPr="00ED3CAB">
        <w:t>medical records directors</w:t>
      </w:r>
    </w:p>
    <w:p w:rsidR="006C0F49" w:rsidRDefault="00ED3CAB" w:rsidP="006C0F49">
      <w:pPr>
        <w:pStyle w:val="ListParagraph"/>
        <w:numPr>
          <w:ilvl w:val="0"/>
          <w:numId w:val="3"/>
        </w:numPr>
        <w:spacing w:after="0" w:line="240" w:lineRule="auto"/>
      </w:pPr>
      <w:r w:rsidRPr="00ED3CAB">
        <w:t xml:space="preserve">compliance officers </w:t>
      </w:r>
      <w:r w:rsidR="006C0F49">
        <w:t>(legal and regulatory support)</w:t>
      </w:r>
    </w:p>
    <w:p w:rsidR="006C0F49" w:rsidRDefault="00ED3CAB" w:rsidP="006C0F49">
      <w:pPr>
        <w:pStyle w:val="ListParagraph"/>
        <w:numPr>
          <w:ilvl w:val="0"/>
          <w:numId w:val="3"/>
        </w:numPr>
        <w:spacing w:after="0" w:line="240" w:lineRule="auto"/>
      </w:pPr>
      <w:r w:rsidRPr="00ED3CAB">
        <w:t>purchasing and fin</w:t>
      </w:r>
      <w:r w:rsidR="006C0F49">
        <w:t xml:space="preserve">ancial managers and </w:t>
      </w:r>
    </w:p>
    <w:p w:rsidR="006C0F49" w:rsidRDefault="006C0F49" w:rsidP="006C0F49">
      <w:pPr>
        <w:pStyle w:val="ListParagraph"/>
        <w:numPr>
          <w:ilvl w:val="0"/>
          <w:numId w:val="3"/>
        </w:numPr>
        <w:spacing w:after="0" w:line="240" w:lineRule="auto"/>
      </w:pPr>
      <w:r>
        <w:t>other</w:t>
      </w:r>
      <w:r w:rsidR="00ED3CAB" w:rsidRPr="00ED3CAB">
        <w:t xml:space="preserve">.  </w:t>
      </w:r>
    </w:p>
    <w:p w:rsidR="006C0F49" w:rsidRDefault="006C0F49" w:rsidP="003A4D62">
      <w:pPr>
        <w:spacing w:after="0" w:line="240" w:lineRule="auto"/>
      </w:pPr>
    </w:p>
    <w:p w:rsidR="006C0F49" w:rsidRDefault="00ED3CAB" w:rsidP="003A4D62">
      <w:pPr>
        <w:spacing w:after="0" w:line="240" w:lineRule="auto"/>
      </w:pPr>
      <w:r w:rsidRPr="00ED3CAB">
        <w:t>The custodian of the forms</w:t>
      </w:r>
      <w:r w:rsidR="006C0F49">
        <w:t>/documents</w:t>
      </w:r>
      <w:r w:rsidRPr="00ED3CAB">
        <w:t xml:space="preserve"> is the medical records department. </w:t>
      </w:r>
    </w:p>
    <w:p w:rsidR="006C0F49" w:rsidRDefault="006C0F49" w:rsidP="003A4D62">
      <w:pPr>
        <w:spacing w:after="0" w:line="240" w:lineRule="auto"/>
      </w:pPr>
    </w:p>
    <w:p w:rsidR="00833ECE" w:rsidRDefault="00ED3CAB" w:rsidP="00833ECE">
      <w:pPr>
        <w:spacing w:after="0" w:line="240" w:lineRule="auto"/>
      </w:pPr>
      <w:r w:rsidRPr="00ED3CAB">
        <w:t xml:space="preserve">The list of forms/documents and personnel for defining and maintaining these </w:t>
      </w:r>
      <w:r w:rsidR="007D1BE4">
        <w:t>forms/</w:t>
      </w:r>
      <w:r w:rsidRPr="00ED3CAB">
        <w:t>documents are specified by organizational policies</w:t>
      </w:r>
      <w:r w:rsidR="006C0F49">
        <w:t>.</w:t>
      </w:r>
      <w:r w:rsidR="006C0F49">
        <w:rPr>
          <w:rStyle w:val="FootnoteReference"/>
        </w:rPr>
        <w:footnoteReference w:id="4"/>
      </w:r>
      <w:r w:rsidRPr="00ED3CAB">
        <w:t xml:space="preserve">  </w:t>
      </w:r>
      <w:r w:rsidR="00833ECE" w:rsidRPr="00ED3CAB">
        <w:t xml:space="preserve">If other facility is involved in providing services, data sharing agreements between two facilities shall define the policies on how documentation will be accounted for when shared. </w:t>
      </w:r>
    </w:p>
    <w:p w:rsidR="006C0F49" w:rsidRDefault="006C0F49" w:rsidP="003A4D62">
      <w:pPr>
        <w:spacing w:after="0" w:line="240" w:lineRule="auto"/>
      </w:pPr>
    </w:p>
    <w:p w:rsidR="007D1BE4" w:rsidRPr="007D1BE4" w:rsidRDefault="007D1BE4" w:rsidP="003A4D62">
      <w:pPr>
        <w:spacing w:after="0" w:line="240" w:lineRule="auto"/>
        <w:rPr>
          <w:u w:val="single"/>
        </w:rPr>
      </w:pPr>
      <w:r w:rsidRPr="007D1BE4">
        <w:rPr>
          <w:u w:val="single"/>
        </w:rPr>
        <w:t>Definitions:</w:t>
      </w:r>
    </w:p>
    <w:p w:rsidR="007D1BE4" w:rsidRDefault="007D1BE4" w:rsidP="00833ECE">
      <w:pPr>
        <w:spacing w:after="0" w:line="240" w:lineRule="auto"/>
      </w:pPr>
      <w:r>
        <w:t>The terms “</w:t>
      </w:r>
      <w:r w:rsidR="002B68F0">
        <w:rPr>
          <w:b/>
        </w:rPr>
        <w:t>F</w:t>
      </w:r>
      <w:r w:rsidRPr="00833ECE">
        <w:rPr>
          <w:b/>
        </w:rPr>
        <w:t>orm</w:t>
      </w:r>
      <w:r>
        <w:t>”, “</w:t>
      </w:r>
      <w:r w:rsidR="002B68F0">
        <w:rPr>
          <w:b/>
        </w:rPr>
        <w:t>D</w:t>
      </w:r>
      <w:r w:rsidRPr="00833ECE">
        <w:rPr>
          <w:b/>
        </w:rPr>
        <w:t>ocument</w:t>
      </w:r>
      <w:r>
        <w:t>” and “</w:t>
      </w:r>
      <w:r w:rsidR="002B68F0">
        <w:rPr>
          <w:b/>
        </w:rPr>
        <w:t>S</w:t>
      </w:r>
      <w:r w:rsidRPr="00833ECE">
        <w:rPr>
          <w:b/>
        </w:rPr>
        <w:t>creen</w:t>
      </w:r>
      <w:r>
        <w:t xml:space="preserve">” are used interchangeably </w:t>
      </w:r>
      <w:r w:rsidR="00833ECE">
        <w:t>in this White P</w:t>
      </w:r>
      <w:r>
        <w:t>aper. Form/document/screen is the representation of knowledge assembled from data collected during the encounter.</w:t>
      </w:r>
      <w:r w:rsidR="00833ECE">
        <w:t xml:space="preserve"> Formal definitions of these terms are the following:</w:t>
      </w:r>
    </w:p>
    <w:p w:rsidR="006C0F49" w:rsidRDefault="006C0F49" w:rsidP="003A4D62">
      <w:pPr>
        <w:spacing w:after="0" w:line="240" w:lineRule="auto"/>
      </w:pPr>
    </w:p>
    <w:p w:rsidR="007D1BE4" w:rsidRDefault="00833ECE" w:rsidP="00833ECE">
      <w:pPr>
        <w:spacing w:after="0" w:line="240" w:lineRule="auto"/>
        <w:ind w:left="720"/>
      </w:pPr>
      <w:r>
        <w:t>“</w:t>
      </w:r>
      <w:r w:rsidR="007D1BE4">
        <w:t>Form</w:t>
      </w:r>
      <w:r>
        <w:t>s</w:t>
      </w:r>
      <w:r w:rsidR="007D1BE4">
        <w:t xml:space="preserve"> are pages that allow </w:t>
      </w:r>
      <w:r>
        <w:t>users to fill in and submit</w:t>
      </w:r>
      <w:r w:rsidR="007D1BE4">
        <w:t xml:space="preserve"> information</w:t>
      </w:r>
      <w:r>
        <w:t>”</w:t>
      </w:r>
      <w:r w:rsidR="007D1BE4">
        <w:rPr>
          <w:rStyle w:val="FootnoteReference"/>
        </w:rPr>
        <w:footnoteReference w:id="5"/>
      </w:r>
    </w:p>
    <w:p w:rsidR="00833ECE" w:rsidRDefault="00833ECE" w:rsidP="00833ECE">
      <w:pPr>
        <w:spacing w:after="0" w:line="240" w:lineRule="auto"/>
        <w:ind w:left="720"/>
      </w:pPr>
      <w:r>
        <w:t>“Document is any analog or digital, formatted and preserved “container” of data or information”</w:t>
      </w:r>
      <w:r>
        <w:rPr>
          <w:rStyle w:val="FootnoteReference"/>
        </w:rPr>
        <w:footnoteReference w:id="6"/>
      </w:r>
    </w:p>
    <w:p w:rsidR="00833ECE" w:rsidRDefault="00833ECE" w:rsidP="00833ECE">
      <w:pPr>
        <w:spacing w:after="0" w:line="240" w:lineRule="auto"/>
        <w:ind w:left="720"/>
      </w:pPr>
      <w:r>
        <w:t>“Screen prototype is a sketch of the user interface of each screen that is anticipated in a project”</w:t>
      </w:r>
      <w:r>
        <w:rPr>
          <w:rStyle w:val="FootnoteReference"/>
        </w:rPr>
        <w:footnoteReference w:id="7"/>
      </w:r>
    </w:p>
    <w:p w:rsidR="007D1BE4" w:rsidRDefault="007D1BE4" w:rsidP="003A4D62">
      <w:pPr>
        <w:spacing w:after="0" w:line="240" w:lineRule="auto"/>
      </w:pPr>
    </w:p>
    <w:p w:rsidR="002B68F0" w:rsidRDefault="00ED3CAB" w:rsidP="003A4D62">
      <w:pPr>
        <w:spacing w:after="0" w:line="240" w:lineRule="auto"/>
      </w:pPr>
      <w:r w:rsidRPr="00ED3CAB">
        <w:t xml:space="preserve">The </w:t>
      </w:r>
      <w:r w:rsidR="002B68F0">
        <w:rPr>
          <w:b/>
        </w:rPr>
        <w:t>E</w:t>
      </w:r>
      <w:r w:rsidR="006C0F49" w:rsidRPr="00833ECE">
        <w:rPr>
          <w:b/>
        </w:rPr>
        <w:t>ncounter</w:t>
      </w:r>
      <w:r w:rsidRPr="00ED3CAB">
        <w:t xml:space="preserve"> is </w:t>
      </w:r>
      <w:r w:rsidR="006C0F49" w:rsidRPr="00ED3CAB">
        <w:t>referred</w:t>
      </w:r>
      <w:r w:rsidRPr="00ED3CAB">
        <w:t xml:space="preserve"> to a visit or interaction between patient and provider and/or </w:t>
      </w:r>
      <w:r w:rsidR="00833ECE" w:rsidRPr="00ED3CAB">
        <w:t>ancillary</w:t>
      </w:r>
      <w:r w:rsidRPr="00ED3CAB">
        <w:t xml:space="preserve"> services within the facility. </w:t>
      </w:r>
      <w:r w:rsidR="006C0F49" w:rsidRPr="00ED3CAB">
        <w:t>The type of encounter is defined by the service type (e.g., inpatient, outpatient, ED, long-term care and others</w:t>
      </w:r>
      <w:r w:rsidR="006C0F49" w:rsidRPr="00A069D7">
        <w:rPr>
          <w:highlight w:val="yellow"/>
        </w:rPr>
        <w:t xml:space="preserve">). </w:t>
      </w:r>
      <w:r w:rsidR="00833ECE" w:rsidRPr="00A069D7">
        <w:rPr>
          <w:highlight w:val="yellow"/>
        </w:rPr>
        <w:t xml:space="preserve"> </w:t>
      </w:r>
      <w:r w:rsidRPr="00A069D7">
        <w:rPr>
          <w:highlight w:val="yellow"/>
        </w:rPr>
        <w:t xml:space="preserve">In this year, we will focus on </w:t>
      </w:r>
      <w:r w:rsidRPr="00A069D7">
        <w:rPr>
          <w:highlight w:val="yellow"/>
          <w:u w:val="single"/>
        </w:rPr>
        <w:t xml:space="preserve">inpatient </w:t>
      </w:r>
      <w:r w:rsidR="00833ECE" w:rsidRPr="00A069D7">
        <w:rPr>
          <w:highlight w:val="yellow"/>
          <w:u w:val="single"/>
        </w:rPr>
        <w:t>f</w:t>
      </w:r>
      <w:r w:rsidRPr="00A069D7">
        <w:rPr>
          <w:highlight w:val="yellow"/>
          <w:u w:val="single"/>
        </w:rPr>
        <w:t>acilities only</w:t>
      </w:r>
      <w:r w:rsidRPr="00A069D7">
        <w:rPr>
          <w:highlight w:val="yellow"/>
        </w:rPr>
        <w:t xml:space="preserve">, so the </w:t>
      </w:r>
      <w:r w:rsidRPr="00A069D7">
        <w:rPr>
          <w:b/>
          <w:highlight w:val="yellow"/>
        </w:rPr>
        <w:t>end of the encounter</w:t>
      </w:r>
      <w:r w:rsidRPr="00A069D7">
        <w:rPr>
          <w:highlight w:val="yellow"/>
        </w:rPr>
        <w:t xml:space="preserve"> is defined as patient discharge or transfer from the facility</w:t>
      </w:r>
      <w:r w:rsidR="00A73A91">
        <w:rPr>
          <w:highlight w:val="yellow"/>
        </w:rPr>
        <w:t xml:space="preserve"> – TO BE DISCUSSED</w:t>
      </w:r>
      <w:r w:rsidRPr="00A069D7">
        <w:rPr>
          <w:highlight w:val="yellow"/>
        </w:rPr>
        <w:t>.</w:t>
      </w:r>
      <w:r w:rsidRPr="00ED3CAB">
        <w:t xml:space="preserve"> </w:t>
      </w:r>
    </w:p>
    <w:p w:rsidR="002B68F0" w:rsidRDefault="002B68F0" w:rsidP="003A4D62">
      <w:pPr>
        <w:spacing w:after="0" w:line="240" w:lineRule="auto"/>
      </w:pPr>
    </w:p>
    <w:p w:rsidR="00833ECE" w:rsidRDefault="002B68F0" w:rsidP="003A4D62">
      <w:pPr>
        <w:spacing w:after="0" w:line="240" w:lineRule="auto"/>
      </w:pPr>
      <w:r>
        <w:t xml:space="preserve">The encounter is comprised of </w:t>
      </w:r>
      <w:r w:rsidR="00A069D7">
        <w:rPr>
          <w:b/>
        </w:rPr>
        <w:t>Functions/Events/S</w:t>
      </w:r>
      <w:r w:rsidRPr="002B68F0">
        <w:rPr>
          <w:b/>
        </w:rPr>
        <w:t>teps</w:t>
      </w:r>
      <w:r>
        <w:t>.</w:t>
      </w:r>
    </w:p>
    <w:p w:rsidR="00833ECE" w:rsidRDefault="00833ECE" w:rsidP="003A4D62">
      <w:pPr>
        <w:spacing w:after="0" w:line="240" w:lineRule="auto"/>
      </w:pPr>
    </w:p>
    <w:p w:rsidR="002B68F0" w:rsidRDefault="00833ECE" w:rsidP="003A4D62">
      <w:pPr>
        <w:spacing w:after="0" w:line="240" w:lineRule="auto"/>
      </w:pPr>
      <w:r>
        <w:t xml:space="preserve">The </w:t>
      </w:r>
      <w:r w:rsidR="002B68F0">
        <w:rPr>
          <w:b/>
        </w:rPr>
        <w:t>F</w:t>
      </w:r>
      <w:r w:rsidRPr="002B68F0">
        <w:rPr>
          <w:b/>
        </w:rPr>
        <w:t>unction</w:t>
      </w:r>
      <w:r>
        <w:t xml:space="preserve"> of the encounter is defined as</w:t>
      </w:r>
      <w:r w:rsidR="002B68F0">
        <w:t xml:space="preserve"> entity or the activity that involve a single healthcare department, service area or discipline</w:t>
      </w:r>
      <w:r>
        <w:t>.</w:t>
      </w:r>
    </w:p>
    <w:p w:rsidR="002B68F0" w:rsidRDefault="002B68F0" w:rsidP="002B68F0">
      <w:pPr>
        <w:spacing w:after="0" w:line="240" w:lineRule="auto"/>
      </w:pPr>
    </w:p>
    <w:p w:rsidR="002B68F0" w:rsidRDefault="002B68F0" w:rsidP="002B68F0">
      <w:pPr>
        <w:spacing w:after="0" w:line="240" w:lineRule="auto"/>
        <w:rPr>
          <w:b/>
        </w:rPr>
      </w:pPr>
      <w:r>
        <w:t xml:space="preserve">The </w:t>
      </w:r>
      <w:r>
        <w:rPr>
          <w:b/>
        </w:rPr>
        <w:t>E</w:t>
      </w:r>
      <w:r w:rsidRPr="002B68F0">
        <w:rPr>
          <w:b/>
        </w:rPr>
        <w:t>vent</w:t>
      </w:r>
      <w:r>
        <w:rPr>
          <w:b/>
        </w:rPr>
        <w:t xml:space="preserve"> </w:t>
      </w:r>
      <w:r w:rsidRPr="002B68F0">
        <w:t>is defined as an action or activity that occurs within a system and/or network, inclusive of its boundaries</w:t>
      </w:r>
      <w:r>
        <w:t>.</w:t>
      </w:r>
      <w:r>
        <w:rPr>
          <w:rStyle w:val="FootnoteReference"/>
        </w:rPr>
        <w:footnoteReference w:id="8"/>
      </w:r>
    </w:p>
    <w:p w:rsidR="002B68F0" w:rsidRDefault="002B68F0" w:rsidP="002B68F0">
      <w:pPr>
        <w:spacing w:after="0" w:line="240" w:lineRule="auto"/>
        <w:rPr>
          <w:b/>
        </w:rPr>
      </w:pPr>
    </w:p>
    <w:p w:rsidR="002B68F0" w:rsidRDefault="002B68F0" w:rsidP="002B68F0">
      <w:pPr>
        <w:spacing w:after="0" w:line="240" w:lineRule="auto"/>
      </w:pPr>
      <w:r w:rsidRPr="002B68F0">
        <w:t>The</w:t>
      </w:r>
      <w:r>
        <w:rPr>
          <w:b/>
        </w:rPr>
        <w:t xml:space="preserve"> S</w:t>
      </w:r>
      <w:r w:rsidRPr="002B68F0">
        <w:rPr>
          <w:b/>
        </w:rPr>
        <w:t>tep</w:t>
      </w:r>
      <w:r>
        <w:t xml:space="preserve"> is defined as a sub-action or sub-activity that occurs within a specific event of care.</w:t>
      </w:r>
    </w:p>
    <w:p w:rsidR="002B68F0" w:rsidRDefault="002B68F0" w:rsidP="003A4D62">
      <w:pPr>
        <w:spacing w:after="0" w:line="240" w:lineRule="auto"/>
      </w:pPr>
    </w:p>
    <w:p w:rsidR="00022E0C" w:rsidRDefault="00ED3CAB" w:rsidP="003A4D62">
      <w:pPr>
        <w:spacing w:after="0" w:line="240" w:lineRule="auto"/>
      </w:pPr>
      <w:r w:rsidRPr="00ED3CAB">
        <w:t xml:space="preserve">The </w:t>
      </w:r>
      <w:r w:rsidRPr="00A069D7">
        <w:rPr>
          <w:b/>
        </w:rPr>
        <w:t>start and the end of each function/event/step within the encounter</w:t>
      </w:r>
      <w:r w:rsidRPr="00ED3CAB">
        <w:t xml:space="preserve"> are defined by the creation and completion of the </w:t>
      </w:r>
      <w:r w:rsidR="002B68F0" w:rsidRPr="00ED3CAB">
        <w:t>correspondent</w:t>
      </w:r>
      <w:r w:rsidR="002B68F0">
        <w:t xml:space="preserve"> record/</w:t>
      </w:r>
      <w:r w:rsidRPr="00ED3CAB">
        <w:t>document related to the specific function/event/step</w:t>
      </w:r>
      <w:r w:rsidR="002B68F0">
        <w:t xml:space="preserve">. </w:t>
      </w:r>
      <w:r w:rsidRPr="00ED3CAB">
        <w:t xml:space="preserve"> </w:t>
      </w:r>
    </w:p>
    <w:p w:rsidR="00022E0C" w:rsidRDefault="00022E0C" w:rsidP="003A4D62">
      <w:pPr>
        <w:spacing w:after="0" w:line="240" w:lineRule="auto"/>
      </w:pPr>
    </w:p>
    <w:p w:rsidR="00022E0C" w:rsidRDefault="00022E0C" w:rsidP="003A4D62">
      <w:pPr>
        <w:spacing w:after="0" w:line="240" w:lineRule="auto"/>
      </w:pPr>
      <w:r>
        <w:t xml:space="preserve">The </w:t>
      </w:r>
      <w:r w:rsidRPr="00022E0C">
        <w:rPr>
          <w:b/>
        </w:rPr>
        <w:t>start</w:t>
      </w:r>
      <w:r w:rsidR="00A069D7">
        <w:rPr>
          <w:b/>
        </w:rPr>
        <w:t xml:space="preserve"> of the encounter</w:t>
      </w:r>
      <w:r>
        <w:t xml:space="preserve"> is defined by </w:t>
      </w:r>
      <w:r w:rsidR="005A758D">
        <w:t xml:space="preserve">the </w:t>
      </w:r>
      <w:r w:rsidR="00A069D7" w:rsidRPr="00A069D7">
        <w:rPr>
          <w:b/>
        </w:rPr>
        <w:t>initial interaction</w:t>
      </w:r>
      <w:r w:rsidR="00A069D7">
        <w:t xml:space="preserve"> of the patient with the healthcare facility (e.g., visit, e-mail, phone or other). This interaction sets into motion the chain of functions/events/steps defined by the c</w:t>
      </w:r>
      <w:r w:rsidR="005A758D">
        <w:t>linical pathway of activities for a specific encounter</w:t>
      </w:r>
      <w:r>
        <w:t>.</w:t>
      </w:r>
      <w:r w:rsidR="00A069D7">
        <w:t xml:space="preserve"> This interaction acts as a trigger of a specific clinical pathway (Table 1).</w:t>
      </w:r>
    </w:p>
    <w:p w:rsidR="00A069D7" w:rsidRDefault="00A069D7" w:rsidP="003A4D62">
      <w:pPr>
        <w:spacing w:after="0" w:line="240" w:lineRule="auto"/>
      </w:pPr>
    </w:p>
    <w:p w:rsidR="00022E0C" w:rsidRDefault="00A069D7" w:rsidP="00A069D7">
      <w:pPr>
        <w:spacing w:after="0" w:line="240" w:lineRule="auto"/>
        <w:jc w:val="center"/>
      </w:pPr>
      <w:r>
        <w:t>Table 1. Relationship between Encounter’s Flow of Events and Documents</w:t>
      </w:r>
    </w:p>
    <w:tbl>
      <w:tblPr>
        <w:tblStyle w:val="TableGrid"/>
        <w:tblW w:w="0" w:type="auto"/>
        <w:tblInd w:w="108" w:type="dxa"/>
        <w:tblLook w:val="04A0"/>
      </w:tblPr>
      <w:tblGrid>
        <w:gridCol w:w="3600"/>
        <w:gridCol w:w="5760"/>
      </w:tblGrid>
      <w:tr w:rsidR="002A7363" w:rsidTr="002A7363">
        <w:tc>
          <w:tcPr>
            <w:tcW w:w="9360" w:type="dxa"/>
            <w:gridSpan w:val="2"/>
            <w:shd w:val="clear" w:color="auto" w:fill="DBE5F1" w:themeFill="accent1" w:themeFillTint="33"/>
          </w:tcPr>
          <w:p w:rsidR="002A7363" w:rsidRDefault="002A7363" w:rsidP="005A758D">
            <w:pPr>
              <w:jc w:val="center"/>
            </w:pPr>
            <w:r>
              <w:t>Encounter</w:t>
            </w:r>
          </w:p>
        </w:tc>
      </w:tr>
      <w:tr w:rsidR="00022E0C" w:rsidTr="002A7363">
        <w:tc>
          <w:tcPr>
            <w:tcW w:w="9360" w:type="dxa"/>
            <w:gridSpan w:val="2"/>
            <w:shd w:val="clear" w:color="auto" w:fill="DBE5F1" w:themeFill="accent1" w:themeFillTint="33"/>
          </w:tcPr>
          <w:p w:rsidR="00022E0C" w:rsidRDefault="005A758D" w:rsidP="002A7363">
            <w:pPr>
              <w:jc w:val="center"/>
            </w:pPr>
            <w:r>
              <w:t>Clinical P</w:t>
            </w:r>
            <w:r w:rsidR="00022E0C">
              <w:t>athway</w:t>
            </w:r>
            <w:r>
              <w:t xml:space="preserve"> for &lt;Function: Registration, Assessment, testing, etc.&gt;</w:t>
            </w:r>
          </w:p>
        </w:tc>
      </w:tr>
      <w:tr w:rsidR="00022E0C" w:rsidTr="002A7363">
        <w:tc>
          <w:tcPr>
            <w:tcW w:w="3600" w:type="dxa"/>
            <w:shd w:val="clear" w:color="auto" w:fill="DBE5F1" w:themeFill="accent1" w:themeFillTint="33"/>
          </w:tcPr>
          <w:p w:rsidR="00022E0C" w:rsidRDefault="00022E0C" w:rsidP="002A7363">
            <w:pPr>
              <w:jc w:val="center"/>
            </w:pPr>
            <w:r>
              <w:t>Workflow Activities</w:t>
            </w:r>
            <w:r w:rsidR="005A758D">
              <w:t xml:space="preserve"> or Flow of Events</w:t>
            </w:r>
          </w:p>
        </w:tc>
        <w:tc>
          <w:tcPr>
            <w:tcW w:w="5760" w:type="dxa"/>
            <w:shd w:val="clear" w:color="auto" w:fill="DBE5F1" w:themeFill="accent1" w:themeFillTint="33"/>
          </w:tcPr>
          <w:p w:rsidR="00022E0C" w:rsidRDefault="002A7363" w:rsidP="002A7363">
            <w:pPr>
              <w:jc w:val="center"/>
            </w:pPr>
            <w:r>
              <w:t>Records/</w:t>
            </w:r>
            <w:r w:rsidR="00022E0C">
              <w:t>Document</w:t>
            </w:r>
            <w:r>
              <w:t>s</w:t>
            </w:r>
          </w:p>
        </w:tc>
      </w:tr>
      <w:tr w:rsidR="002A7363" w:rsidTr="002A7363">
        <w:tc>
          <w:tcPr>
            <w:tcW w:w="3600" w:type="dxa"/>
          </w:tcPr>
          <w:p w:rsidR="002A7363" w:rsidRDefault="002A7363" w:rsidP="003A4D62"/>
        </w:tc>
        <w:tc>
          <w:tcPr>
            <w:tcW w:w="5760" w:type="dxa"/>
          </w:tcPr>
          <w:p w:rsidR="002A7363" w:rsidRDefault="00A069D7" w:rsidP="00A069D7">
            <w:r>
              <w:t>Initial interaction with healthcare facility</w:t>
            </w:r>
            <w:r w:rsidR="004A01C7">
              <w:t xml:space="preserve"> (visit, e-mail, phone)</w:t>
            </w:r>
          </w:p>
        </w:tc>
      </w:tr>
      <w:tr w:rsidR="00022E0C" w:rsidTr="002A7363">
        <w:tc>
          <w:tcPr>
            <w:tcW w:w="3600" w:type="dxa"/>
          </w:tcPr>
          <w:p w:rsidR="00022E0C" w:rsidRDefault="00022E0C" w:rsidP="003A4D62">
            <w:r>
              <w:t>Step 1</w:t>
            </w:r>
          </w:p>
        </w:tc>
        <w:tc>
          <w:tcPr>
            <w:tcW w:w="5760" w:type="dxa"/>
          </w:tcPr>
          <w:p w:rsidR="00022E0C" w:rsidRDefault="002A7363" w:rsidP="003A4D62">
            <w:r>
              <w:t>Document 1 – output for Step 1 and input /trigger for Step 2</w:t>
            </w:r>
          </w:p>
        </w:tc>
      </w:tr>
      <w:tr w:rsidR="002A7363" w:rsidTr="002A7363">
        <w:tc>
          <w:tcPr>
            <w:tcW w:w="3600" w:type="dxa"/>
          </w:tcPr>
          <w:p w:rsidR="002A7363" w:rsidRDefault="002A7363" w:rsidP="003A4D62">
            <w:r>
              <w:t>Step 2</w:t>
            </w:r>
          </w:p>
        </w:tc>
        <w:tc>
          <w:tcPr>
            <w:tcW w:w="5760" w:type="dxa"/>
          </w:tcPr>
          <w:p w:rsidR="002A7363" w:rsidRDefault="002A7363">
            <w:r w:rsidRPr="003212D4">
              <w:t xml:space="preserve">Document </w:t>
            </w:r>
            <w:r>
              <w:t>2 – output for Step 2 and input/trigger for Step 3</w:t>
            </w:r>
          </w:p>
        </w:tc>
      </w:tr>
      <w:tr w:rsidR="002A7363" w:rsidTr="002A7363">
        <w:tc>
          <w:tcPr>
            <w:tcW w:w="3600" w:type="dxa"/>
          </w:tcPr>
          <w:p w:rsidR="002A7363" w:rsidRDefault="002A7363" w:rsidP="003A4D62">
            <w:r>
              <w:t>Step 3</w:t>
            </w:r>
          </w:p>
        </w:tc>
        <w:tc>
          <w:tcPr>
            <w:tcW w:w="5760" w:type="dxa"/>
          </w:tcPr>
          <w:p w:rsidR="002A7363" w:rsidRDefault="002A7363">
            <w:r w:rsidRPr="003212D4">
              <w:t xml:space="preserve">Document </w:t>
            </w:r>
            <w:r>
              <w:t>3 – output for Step 3</w:t>
            </w:r>
          </w:p>
        </w:tc>
      </w:tr>
    </w:tbl>
    <w:p w:rsidR="00022E0C" w:rsidRDefault="00022E0C" w:rsidP="003A4D62">
      <w:pPr>
        <w:spacing w:after="0" w:line="240" w:lineRule="auto"/>
      </w:pPr>
    </w:p>
    <w:p w:rsidR="00022E0C" w:rsidRDefault="004A01C7" w:rsidP="003A4D62">
      <w:pPr>
        <w:spacing w:after="0" w:line="240" w:lineRule="auto"/>
      </w:pPr>
      <w:r>
        <w:t>E</w:t>
      </w:r>
      <w:r w:rsidR="00022E0C">
        <w:t>xample</w:t>
      </w:r>
      <w:r>
        <w:t xml:space="preserve"> 1: </w:t>
      </w:r>
      <w:r w:rsidR="00022E0C">
        <w:t xml:space="preserve"> for patient registration, the start of the registration is trigger</w:t>
      </w:r>
      <w:r w:rsidR="00A069D7">
        <w:t>ed</w:t>
      </w:r>
      <w:r w:rsidR="00022E0C">
        <w:t xml:space="preserve"> by </w:t>
      </w:r>
      <w:r>
        <w:t>the patient presenting at the facility in person or contacting the facility by phone or e-mail. The registar’s person activates the</w:t>
      </w:r>
      <w:r w:rsidR="00022E0C">
        <w:t xml:space="preserve"> command “Register a New Patient” or “Look up for the Existing Patient” in</w:t>
      </w:r>
      <w:r w:rsidR="00A069D7">
        <w:t xml:space="preserve"> facility’s</w:t>
      </w:r>
      <w:r w:rsidR="00022E0C">
        <w:t xml:space="preserve"> </w:t>
      </w:r>
      <w:r w:rsidR="00A069D7">
        <w:t>health information</w:t>
      </w:r>
      <w:r w:rsidR="00022E0C">
        <w:t xml:space="preserve"> </w:t>
      </w:r>
      <w:r w:rsidR="00A069D7">
        <w:t>system (HIS).</w:t>
      </w:r>
    </w:p>
    <w:p w:rsidR="004A01C7" w:rsidRDefault="004A01C7" w:rsidP="004A01C7">
      <w:pPr>
        <w:spacing w:after="0" w:line="240" w:lineRule="auto"/>
      </w:pPr>
    </w:p>
    <w:p w:rsidR="004A01C7" w:rsidRDefault="004A01C7" w:rsidP="004A01C7">
      <w:pPr>
        <w:spacing w:after="0" w:line="240" w:lineRule="auto"/>
      </w:pPr>
      <w:r>
        <w:t xml:space="preserve">Patient’s </w:t>
      </w:r>
      <w:r w:rsidRPr="00A73A91">
        <w:rPr>
          <w:b/>
        </w:rPr>
        <w:t>registration, admission, disposition, discharge/transfer</w:t>
      </w:r>
      <w:r>
        <w:t xml:space="preserve"> are the </w:t>
      </w:r>
      <w:r w:rsidRPr="00A73A91">
        <w:rPr>
          <w:b/>
        </w:rPr>
        <w:t>state</w:t>
      </w:r>
      <w:r w:rsidR="00A73A91" w:rsidRPr="00A73A91">
        <w:rPr>
          <w:b/>
        </w:rPr>
        <w:t>s</w:t>
      </w:r>
      <w:r w:rsidRPr="00A73A91">
        <w:rPr>
          <w:b/>
        </w:rPr>
        <w:t xml:space="preserve"> of the patient’s interaction</w:t>
      </w:r>
      <w:r>
        <w:t xml:space="preserve"> with healthcare facility</w:t>
      </w:r>
      <w:r w:rsidRPr="00A73A91">
        <w:t xml:space="preserve">.  </w:t>
      </w:r>
      <w:r w:rsidR="00A73A91">
        <w:t>HIS</w:t>
      </w:r>
      <w:r w:rsidRPr="00A73A91">
        <w:t xml:space="preserve"> must document change in these states. For example, under disposition when patient is moved to another floor for testing, all pre</w:t>
      </w:r>
      <w:r w:rsidR="00A73A91" w:rsidRPr="00A73A91">
        <w:t>vious documents that trigger this new function</w:t>
      </w:r>
      <w:r w:rsidRPr="00A73A91">
        <w:t xml:space="preserve"> (input documents) and new document</w:t>
      </w:r>
      <w:r w:rsidR="00A73A91" w:rsidRPr="00A73A91">
        <w:t xml:space="preserve">s generated by this </w:t>
      </w:r>
      <w:r w:rsidRPr="00A73A91">
        <w:t>new function</w:t>
      </w:r>
      <w:r w:rsidR="00A73A91" w:rsidRPr="00A73A91">
        <w:t xml:space="preserve"> (</w:t>
      </w:r>
      <w:r w:rsidR="00A73A91">
        <w:t>o</w:t>
      </w:r>
      <w:r w:rsidR="00A73A91" w:rsidRPr="00A73A91">
        <w:t>utput documents) must be captured in the HIS</w:t>
      </w:r>
      <w:r w:rsidRPr="00A73A91">
        <w:t>.</w:t>
      </w:r>
    </w:p>
    <w:p w:rsidR="004A01C7" w:rsidRDefault="004A01C7" w:rsidP="004A01C7">
      <w:pPr>
        <w:spacing w:after="0" w:line="240" w:lineRule="auto"/>
      </w:pPr>
    </w:p>
    <w:p w:rsidR="00022E0C" w:rsidRDefault="002B68F0" w:rsidP="003A4D62">
      <w:pPr>
        <w:spacing w:after="0" w:line="240" w:lineRule="auto"/>
      </w:pPr>
      <w:r>
        <w:t xml:space="preserve">The </w:t>
      </w:r>
      <w:r w:rsidRPr="00022E0C">
        <w:rPr>
          <w:b/>
        </w:rPr>
        <w:t>end</w:t>
      </w:r>
      <w:r>
        <w:t xml:space="preserve"> is defined by </w:t>
      </w:r>
      <w:r w:rsidR="00ED3CAB" w:rsidRPr="00ED3CAB">
        <w:t xml:space="preserve">obtaining digital signature </w:t>
      </w:r>
      <w:r w:rsidR="00022E0C">
        <w:t xml:space="preserve">of an authorized person </w:t>
      </w:r>
      <w:r w:rsidR="00ED3CAB" w:rsidRPr="00ED3CAB">
        <w:t xml:space="preserve">with the time stamp (date and time) on each document. </w:t>
      </w:r>
    </w:p>
    <w:p w:rsidR="00022E0C" w:rsidRDefault="00022E0C" w:rsidP="003A4D62">
      <w:pPr>
        <w:spacing w:after="0" w:line="240" w:lineRule="auto"/>
      </w:pPr>
    </w:p>
    <w:p w:rsidR="00022E0C" w:rsidRDefault="00022E0C" w:rsidP="003A4D62">
      <w:pPr>
        <w:spacing w:after="0" w:line="240" w:lineRule="auto"/>
      </w:pPr>
      <w:r w:rsidRPr="00022E0C">
        <w:rPr>
          <w:b/>
        </w:rPr>
        <w:t>Clinical pathway</w:t>
      </w:r>
      <w:r>
        <w:t xml:space="preserve"> is defined as </w:t>
      </w:r>
      <w:r w:rsidR="002A7363">
        <w:t xml:space="preserve">a flow of activities and documentation derived from the clinical guidelines as related to a specific episode of care. </w:t>
      </w:r>
    </w:p>
    <w:p w:rsidR="002A7363" w:rsidRDefault="002A7363" w:rsidP="002A7363">
      <w:pPr>
        <w:spacing w:after="0" w:line="240" w:lineRule="auto"/>
        <w:ind w:left="720"/>
      </w:pPr>
    </w:p>
    <w:p w:rsidR="002A7363" w:rsidRDefault="002A7363" w:rsidP="002A7363">
      <w:pPr>
        <w:spacing w:after="0" w:line="240" w:lineRule="auto"/>
        <w:ind w:left="720"/>
      </w:pPr>
      <w:r>
        <w:t>Clinical pathway is a tool designed to coordinate multidisciplinary care planning for specific diagnoses and treatments.</w:t>
      </w:r>
      <w:r w:rsidRPr="002A7363">
        <w:rPr>
          <w:rStyle w:val="FootnoteReference"/>
        </w:rPr>
        <w:t xml:space="preserve"> </w:t>
      </w:r>
      <w:r>
        <w:rPr>
          <w:rStyle w:val="FootnoteReference"/>
        </w:rPr>
        <w:footnoteReference w:id="9"/>
      </w:r>
    </w:p>
    <w:p w:rsidR="00022E0C" w:rsidRDefault="00022E0C" w:rsidP="003A4D62">
      <w:pPr>
        <w:spacing w:after="0" w:line="240" w:lineRule="auto"/>
      </w:pPr>
    </w:p>
    <w:p w:rsidR="00452C10" w:rsidRPr="00452C10" w:rsidRDefault="00452C10" w:rsidP="003A4D62">
      <w:pPr>
        <w:spacing w:after="0" w:line="240" w:lineRule="auto"/>
        <w:rPr>
          <w:highlight w:val="yellow"/>
        </w:rPr>
      </w:pPr>
      <w:r w:rsidRPr="00110632">
        <w:rPr>
          <w:b/>
          <w:highlight w:val="yellow"/>
        </w:rPr>
        <w:t>Complete record</w:t>
      </w:r>
      <w:r w:rsidRPr="00452C10">
        <w:rPr>
          <w:highlight w:val="yellow"/>
        </w:rPr>
        <w:t xml:space="preserve"> is defined as</w:t>
      </w:r>
    </w:p>
    <w:p w:rsidR="00452C10" w:rsidRPr="00452C10" w:rsidRDefault="00452C10" w:rsidP="003A4D62">
      <w:pPr>
        <w:spacing w:after="0" w:line="240" w:lineRule="auto"/>
        <w:rPr>
          <w:highlight w:val="yellow"/>
        </w:rPr>
      </w:pPr>
      <w:r w:rsidRPr="00110632">
        <w:rPr>
          <w:b/>
          <w:highlight w:val="yellow"/>
        </w:rPr>
        <w:t>Incomplete record</w:t>
      </w:r>
      <w:r w:rsidRPr="00452C10">
        <w:rPr>
          <w:highlight w:val="yellow"/>
        </w:rPr>
        <w:t xml:space="preserve"> is defined as</w:t>
      </w:r>
    </w:p>
    <w:p w:rsidR="00452C10" w:rsidRDefault="00452C10" w:rsidP="003A4D62">
      <w:pPr>
        <w:spacing w:after="0" w:line="240" w:lineRule="auto"/>
      </w:pPr>
      <w:r w:rsidRPr="00110632">
        <w:rPr>
          <w:b/>
          <w:highlight w:val="yellow"/>
        </w:rPr>
        <w:t>Cancelled record</w:t>
      </w:r>
      <w:r w:rsidRPr="00452C10">
        <w:rPr>
          <w:highlight w:val="yellow"/>
        </w:rPr>
        <w:t xml:space="preserve"> is defined as</w:t>
      </w:r>
    </w:p>
    <w:p w:rsidR="004B7FCE" w:rsidRDefault="004B7FCE" w:rsidP="003A4D62">
      <w:pPr>
        <w:spacing w:after="0" w:line="240" w:lineRule="auto"/>
      </w:pPr>
    </w:p>
    <w:p w:rsidR="004B7FCE" w:rsidRDefault="004B7FCE" w:rsidP="004B7FCE">
      <w:pPr>
        <w:spacing w:after="0" w:line="240" w:lineRule="auto"/>
      </w:pPr>
      <w:r w:rsidRPr="004B7FCE">
        <w:rPr>
          <w:b/>
          <w:highlight w:val="yellow"/>
        </w:rPr>
        <w:t>Completeness:</w:t>
      </w:r>
      <w:r w:rsidRPr="004B7FCE">
        <w:rPr>
          <w:highlight w:val="yellow"/>
        </w:rPr>
        <w:t xml:space="preserve"> is defined as …An element of a legally defensible health record; the health record is not complete until all its parts are assembled and the appropriate documents are authenticated according to medical staff bylaw. (AHIMA Pocket Glossary of Health Information Management and Technology. 2014.)</w:t>
      </w:r>
    </w:p>
    <w:p w:rsidR="004B7FCE" w:rsidRDefault="004B7FCE" w:rsidP="004B7FCE">
      <w:pPr>
        <w:spacing w:after="0" w:line="240" w:lineRule="auto"/>
      </w:pPr>
    </w:p>
    <w:p w:rsidR="004B7FCE" w:rsidRDefault="004B7FCE" w:rsidP="004B7FCE">
      <w:pPr>
        <w:spacing w:after="0" w:line="240" w:lineRule="auto"/>
      </w:pPr>
      <w:r w:rsidRPr="004B7FCE">
        <w:rPr>
          <w:b/>
          <w:highlight w:val="yellow"/>
        </w:rPr>
        <w:t xml:space="preserve">Record completion: </w:t>
      </w:r>
      <w:r w:rsidRPr="004B7FCE">
        <w:rPr>
          <w:highlight w:val="yellow"/>
        </w:rPr>
        <w:t>is defined as…The process whereby healthcare professionals are able to access, complete, or authenticate a specific patient’s medical information.  (AHIMA Pocket Glossary of Health Information Management and Technology. 2014.)</w:t>
      </w:r>
    </w:p>
    <w:p w:rsidR="004B7FCE" w:rsidRDefault="004B7FCE" w:rsidP="00F41B35">
      <w:pPr>
        <w:spacing w:before="240" w:after="0" w:line="240" w:lineRule="auto"/>
      </w:pPr>
      <w:r w:rsidRPr="00F41B35">
        <w:rPr>
          <w:b/>
          <w:highlight w:val="yellow"/>
        </w:rPr>
        <w:t xml:space="preserve">Incomplete records </w:t>
      </w:r>
      <w:r w:rsidR="00F41B35" w:rsidRPr="00F41B35">
        <w:rPr>
          <w:b/>
          <w:highlight w:val="yellow"/>
        </w:rPr>
        <w:t xml:space="preserve">policy: </w:t>
      </w:r>
      <w:r w:rsidR="00F41B35" w:rsidRPr="00F41B35">
        <w:rPr>
          <w:highlight w:val="yellow"/>
        </w:rPr>
        <w:t>is defined as…A policy that outlines how physicians are notified of records missing documentation or signatures. (AHIMA Pocket Glossary of Health Information Management and Technology. 2014.</w:t>
      </w:r>
      <w:r w:rsidR="00F41B35">
        <w:t>)</w:t>
      </w:r>
    </w:p>
    <w:p w:rsidR="00F41B35" w:rsidRDefault="00F41B35" w:rsidP="00F41B35">
      <w:pPr>
        <w:spacing w:before="240" w:after="0" w:line="240" w:lineRule="auto"/>
      </w:pPr>
      <w:r w:rsidRPr="003E1F59">
        <w:rPr>
          <w:b/>
          <w:highlight w:val="yellow"/>
        </w:rPr>
        <w:t xml:space="preserve">Retraction: </w:t>
      </w:r>
      <w:r w:rsidRPr="003E1F59">
        <w:rPr>
          <w:highlight w:val="yellow"/>
        </w:rPr>
        <w:t>is defined as…The act of correcting information that was inaccurate, invalid, or made in error and preventing its display or hiding the entry or documentation</w:t>
      </w:r>
      <w:r w:rsidR="003E1F59" w:rsidRPr="003E1F59">
        <w:rPr>
          <w:highlight w:val="yellow"/>
        </w:rPr>
        <w:t xml:space="preserve"> from further view. (AHIMA Pocket Glossary of Health Information Management and Technology. 2014.)</w:t>
      </w:r>
    </w:p>
    <w:p w:rsidR="003E1F59" w:rsidRDefault="003E1F59" w:rsidP="003E1F59">
      <w:pPr>
        <w:autoSpaceDE w:val="0"/>
        <w:autoSpaceDN w:val="0"/>
        <w:adjustRightInd w:val="0"/>
        <w:spacing w:after="0" w:line="240" w:lineRule="auto"/>
      </w:pPr>
    </w:p>
    <w:p w:rsidR="003E1F59" w:rsidRPr="003E1F59" w:rsidRDefault="003E1F59" w:rsidP="003E1F59">
      <w:pPr>
        <w:autoSpaceDE w:val="0"/>
        <w:autoSpaceDN w:val="0"/>
        <w:adjustRightInd w:val="0"/>
        <w:spacing w:after="0" w:line="240" w:lineRule="auto"/>
        <w:rPr>
          <w:rFonts w:cs="Arial"/>
          <w:highlight w:val="yellow"/>
        </w:rPr>
      </w:pPr>
      <w:r w:rsidRPr="003E1F59">
        <w:rPr>
          <w:rFonts w:cs="Arial"/>
          <w:b/>
          <w:highlight w:val="yellow"/>
        </w:rPr>
        <w:t>RI.1.4, Function; Record Completeness, Conformance Criteria</w:t>
      </w:r>
      <w:r w:rsidRPr="003E1F59">
        <w:rPr>
          <w:rFonts w:cs="Arial"/>
          <w:highlight w:val="yellow"/>
        </w:rPr>
        <w:t>:</w:t>
      </w:r>
    </w:p>
    <w:p w:rsidR="003E1F59" w:rsidRPr="003E1F59" w:rsidRDefault="003E1F59" w:rsidP="003E1F59">
      <w:pPr>
        <w:autoSpaceDE w:val="0"/>
        <w:autoSpaceDN w:val="0"/>
        <w:adjustRightInd w:val="0"/>
        <w:spacing w:after="0" w:line="240" w:lineRule="auto"/>
        <w:rPr>
          <w:rFonts w:cs="Arial"/>
          <w:highlight w:val="yellow"/>
        </w:rPr>
      </w:pPr>
      <w:r w:rsidRPr="003E1F59">
        <w:rPr>
          <w:rFonts w:cs="Arial"/>
          <w:highlight w:val="yellow"/>
        </w:rPr>
        <w:t xml:space="preserve"> </w:t>
      </w:r>
      <w:r w:rsidRPr="003E1F59">
        <w:rPr>
          <w:rFonts w:cs="Arial"/>
          <w:b/>
          <w:bCs/>
          <w:highlight w:val="yellow"/>
        </w:rPr>
        <w:t xml:space="preserve">Statement: </w:t>
      </w:r>
      <w:r w:rsidRPr="003E1F59">
        <w:rPr>
          <w:rFonts w:cs="Arial"/>
          <w:highlight w:val="yellow"/>
        </w:rPr>
        <w:t>Manage Record Completeness.</w:t>
      </w:r>
    </w:p>
    <w:p w:rsidR="003E1F59" w:rsidRDefault="003E1F59" w:rsidP="003E1F59">
      <w:pPr>
        <w:autoSpaceDE w:val="0"/>
        <w:autoSpaceDN w:val="0"/>
        <w:adjustRightInd w:val="0"/>
        <w:spacing w:after="0" w:line="240" w:lineRule="auto"/>
        <w:rPr>
          <w:rFonts w:cs="Times New Roman"/>
        </w:rPr>
      </w:pPr>
      <w:r w:rsidRPr="003E1F59">
        <w:rPr>
          <w:rFonts w:cs="Arial"/>
          <w:b/>
          <w:bCs/>
          <w:highlight w:val="yellow"/>
        </w:rPr>
        <w:t xml:space="preserve">Description: </w:t>
      </w:r>
      <w:r w:rsidRPr="003E1F59">
        <w:rPr>
          <w:rFonts w:cs="Arial"/>
          <w:highlight w:val="yellow"/>
        </w:rPr>
        <w:t>The EHR-S must provide the ability for an organization to define minimum elements and timeframes for completion at the report level and at the record level. Provide a report that identifies completion and timeliness status by patient/ health record number or other specified parameters. Prior to disclosure for legal proceedings or other official purposes, an organization analyzes the health record for completeness. EHR systems must provide the ability to define a minimum set of content to be analyzed for timeliness and completeness and provide a report of the status. (</w:t>
      </w:r>
      <w:r w:rsidRPr="003E1F59">
        <w:rPr>
          <w:rFonts w:cs="Times New Roman"/>
          <w:highlight w:val="yellow"/>
        </w:rPr>
        <w:t>ISO/HL7 10781 - Electronic Health Record System Functional Model, Release 2. 2014)</w:t>
      </w:r>
    </w:p>
    <w:p w:rsidR="003E1F59" w:rsidRDefault="003E1F59" w:rsidP="003E1F59">
      <w:pPr>
        <w:autoSpaceDE w:val="0"/>
        <w:autoSpaceDN w:val="0"/>
        <w:adjustRightInd w:val="0"/>
        <w:spacing w:after="0" w:line="240" w:lineRule="auto"/>
        <w:rPr>
          <w:rFonts w:cs="Times New Roman"/>
        </w:rPr>
      </w:pPr>
    </w:p>
    <w:p w:rsidR="003E1F59" w:rsidRPr="003E1F59" w:rsidRDefault="003E1F59" w:rsidP="003E1F59">
      <w:pPr>
        <w:autoSpaceDE w:val="0"/>
        <w:autoSpaceDN w:val="0"/>
        <w:spacing w:line="240" w:lineRule="auto"/>
        <w:rPr>
          <w:rFonts w:cs="Arial"/>
        </w:rPr>
      </w:pPr>
      <w:r w:rsidRPr="008D623F">
        <w:rPr>
          <w:highlight w:val="yellow"/>
        </w:rPr>
        <w:t>CPS 3.3.12</w:t>
      </w:r>
      <w:r w:rsidR="008D623F" w:rsidRPr="008D623F">
        <w:rPr>
          <w:highlight w:val="yellow"/>
        </w:rPr>
        <w:t>:</w:t>
      </w:r>
      <w:r w:rsidRPr="008D623F">
        <w:rPr>
          <w:color w:val="0070C0"/>
          <w:highlight w:val="yellow"/>
        </w:rPr>
        <w:t xml:space="preserve"> </w:t>
      </w:r>
      <w:r w:rsidRPr="008D623F">
        <w:rPr>
          <w:rFonts w:cs="Arial"/>
          <w:highlight w:val="yellow"/>
        </w:rPr>
        <w:t>The system SHOULD provide the ability to render an indicator that a patient record is incomplete (e.g., not finalized or authenticated/signed) when a discharge or transfer order is entered into the system.</w:t>
      </w:r>
      <w:r w:rsidR="008D623F" w:rsidRPr="008D623F">
        <w:rPr>
          <w:rFonts w:cs="Arial"/>
          <w:highlight w:val="yellow"/>
        </w:rPr>
        <w:t xml:space="preserve"> (</w:t>
      </w:r>
      <w:r w:rsidR="008D623F" w:rsidRPr="003E1F59">
        <w:rPr>
          <w:rFonts w:cs="Times New Roman"/>
          <w:highlight w:val="yellow"/>
        </w:rPr>
        <w:t>ISO/HL7 10781 - Electronic Health Record System Functional Model, Release 2. 2014)</w:t>
      </w:r>
    </w:p>
    <w:p w:rsidR="003E1F59" w:rsidRDefault="003E1F59" w:rsidP="003E1F59">
      <w:pPr>
        <w:rPr>
          <w:rFonts w:ascii="Verdana" w:hAnsi="Verdana"/>
          <w:color w:val="0070C0"/>
          <w:sz w:val="24"/>
          <w:szCs w:val="24"/>
        </w:rPr>
      </w:pPr>
    </w:p>
    <w:p w:rsidR="003E1F59" w:rsidRPr="003E1F59" w:rsidRDefault="003E1F59" w:rsidP="003E1F59">
      <w:pPr>
        <w:autoSpaceDE w:val="0"/>
        <w:autoSpaceDN w:val="0"/>
        <w:adjustRightInd w:val="0"/>
        <w:spacing w:after="0" w:line="240" w:lineRule="auto"/>
        <w:rPr>
          <w:rFonts w:cs="Arial"/>
        </w:rPr>
      </w:pPr>
    </w:p>
    <w:p w:rsidR="00452C10" w:rsidRDefault="00452C10" w:rsidP="003A4D62">
      <w:pPr>
        <w:spacing w:after="0" w:line="240" w:lineRule="auto"/>
      </w:pPr>
    </w:p>
    <w:p w:rsidR="00A73A91" w:rsidRDefault="00A73A91" w:rsidP="003A4D62">
      <w:pPr>
        <w:spacing w:after="0" w:line="240" w:lineRule="auto"/>
      </w:pPr>
      <w:r>
        <w:t>Figure 2 represent example of encounter and various HIS involved in documenting clinical pathway followed in the episode of care. Specific examples of participating information systems ( technical actors) include:</w:t>
      </w:r>
    </w:p>
    <w:p w:rsidR="00A73A91" w:rsidRPr="00A73A91" w:rsidRDefault="00A73A91" w:rsidP="00A73A91">
      <w:pPr>
        <w:spacing w:after="0" w:line="240" w:lineRule="auto"/>
        <w:ind w:left="720"/>
      </w:pPr>
      <w:r w:rsidRPr="00A73A91">
        <w:t>1 – Administrative System</w:t>
      </w:r>
    </w:p>
    <w:p w:rsidR="00A73A91" w:rsidRPr="00A73A91" w:rsidRDefault="00A73A91" w:rsidP="00A73A91">
      <w:pPr>
        <w:spacing w:after="0" w:line="240" w:lineRule="auto"/>
        <w:ind w:left="720"/>
      </w:pPr>
      <w:r w:rsidRPr="00A73A91">
        <w:t>2 – EHR System</w:t>
      </w:r>
    </w:p>
    <w:p w:rsidR="00A73A91" w:rsidRPr="00A73A91" w:rsidRDefault="00A73A91" w:rsidP="00A73A91">
      <w:pPr>
        <w:spacing w:after="0" w:line="240" w:lineRule="auto"/>
        <w:ind w:left="720"/>
      </w:pPr>
      <w:r w:rsidRPr="00A73A91">
        <w:t>3 – Ancillary Systems (Laboratory, Radiology, etc.)</w:t>
      </w:r>
    </w:p>
    <w:p w:rsidR="00A73A91" w:rsidRDefault="00A73A91" w:rsidP="00A73A91">
      <w:pPr>
        <w:spacing w:after="0" w:line="240" w:lineRule="auto"/>
        <w:ind w:left="720"/>
      </w:pPr>
      <w:r w:rsidRPr="00A73A91">
        <w:t>4 – Pharmacy System</w:t>
      </w:r>
    </w:p>
    <w:p w:rsidR="00A73A91" w:rsidRDefault="00A73A91" w:rsidP="00A73A91">
      <w:pPr>
        <w:spacing w:after="0" w:line="240" w:lineRule="auto"/>
        <w:ind w:left="720"/>
      </w:pPr>
    </w:p>
    <w:p w:rsidR="00A73A91" w:rsidRPr="00A73A91" w:rsidRDefault="00A73A91" w:rsidP="00A73A91">
      <w:pPr>
        <w:spacing w:after="0" w:line="240" w:lineRule="auto"/>
        <w:ind w:left="720" w:hanging="720"/>
      </w:pPr>
      <w:r w:rsidRPr="00A73A91">
        <w:rPr>
          <w:noProof/>
        </w:rPr>
        <w:drawing>
          <wp:inline distT="0" distB="0" distL="0" distR="0">
            <wp:extent cx="5943600" cy="4210050"/>
            <wp:effectExtent l="0" t="0" r="0" b="0"/>
            <wp:docPr id="4" name="Object 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9144000" cy="6477000"/>
                      <a:chOff x="0" y="0"/>
                      <a:chExt cx="9144000" cy="6477000"/>
                    </a:xfrm>
                  </a:grpSpPr>
                  <a:sp>
                    <a:nvSpPr>
                      <a:cNvPr id="2" name="Title 1"/>
                      <a:cNvSpPr>
                        <a:spLocks noGrp="1"/>
                      </a:cNvSpPr>
                    </a:nvSpPr>
                    <a:spPr>
                      <a:xfrm>
                        <a:off x="0" y="0"/>
                        <a:ext cx="9144000" cy="381000"/>
                      </a:xfrm>
                      <a:prstGeom prst="rect">
                        <a:avLst/>
                      </a:prstGeom>
                    </a:spPr>
                    <a:txSp>
                      <a:txBody>
                        <a:bodyPr vert="horz" lIns="91440" tIns="45720" rIns="91440" bIns="45720" rtlCol="0" anchor="ctr">
                          <a:noAutofit/>
                        </a:bodyPr>
                        <a:lstStyle>
                          <a:lvl1pPr algn="l" defTabSz="457200" rtl="0" eaLnBrk="1" latinLnBrk="0" hangingPunct="1">
                            <a:spcBef>
                              <a:spcPct val="0"/>
                            </a:spcBef>
                            <a:buNone/>
                            <a:defRPr sz="4400" kern="1200">
                              <a:solidFill>
                                <a:srgbClr val="8C2638"/>
                              </a:solidFill>
                              <a:latin typeface="+mj-lt"/>
                              <a:ea typeface="+mj-ea"/>
                              <a:cs typeface="+mj-cs"/>
                            </a:defRPr>
                          </a:lvl1pPr>
                        </a:lstStyle>
                        <a:p>
                          <a:pPr algn="ctr"/>
                          <a:r>
                            <a:rPr lang="en-US" sz="2000" b="1" dirty="0" smtClean="0">
                              <a:solidFill>
                                <a:schemeClr val="tx2"/>
                              </a:solidFill>
                            </a:rPr>
                            <a:t>Information Governance Principle: Record Availability</a:t>
                          </a:r>
                          <a:endParaRPr lang="en-US" sz="1800" b="1" dirty="0">
                            <a:solidFill>
                              <a:schemeClr val="tx2"/>
                            </a:solidFill>
                          </a:endParaRPr>
                        </a:p>
                      </a:txBody>
                      <a:useSpRect/>
                    </a:txSp>
                  </a:sp>
                  <a:pic>
                    <a:nvPicPr>
                      <a:cNvPr id="4098" name="Picture 2"/>
                      <a:cNvPicPr>
                        <a:picLocks noGrp="1" noChangeAspect="1" noChangeArrowheads="1"/>
                      </a:cNvPicPr>
                    </a:nvPicPr>
                    <a:blipFill>
                      <a:blip r:embed="rId13" cstate="print"/>
                      <a:srcRect/>
                      <a:stretch>
                        <a:fillRect/>
                      </a:stretch>
                    </a:blipFill>
                    <a:spPr bwMode="auto">
                      <a:xfrm>
                        <a:off x="1524000" y="2743200"/>
                        <a:ext cx="6981825" cy="3733800"/>
                      </a:xfrm>
                      <a:prstGeom prst="rect">
                        <a:avLst/>
                      </a:prstGeom>
                      <a:noFill/>
                      <a:ln w="9525">
                        <a:noFill/>
                        <a:miter lim="800000"/>
                        <a:headEnd/>
                        <a:tailEnd/>
                      </a:ln>
                    </a:spPr>
                  </a:pic>
                  <a:sp>
                    <a:nvSpPr>
                      <a:cNvPr id="5" name="TextBox 4"/>
                      <a:cNvSpPr txBox="1"/>
                    </a:nvSpPr>
                    <a:spPr>
                      <a:xfrm>
                        <a:off x="2057400" y="1143000"/>
                        <a:ext cx="6019800" cy="369332"/>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dirty="0" smtClean="0"/>
                            <a:t>Clinical Encounter </a:t>
                          </a:r>
                          <a:r>
                            <a:rPr lang="en-US" dirty="0" smtClean="0"/>
                            <a:t>Functions and Records/Documents </a:t>
                          </a:r>
                          <a:r>
                            <a:rPr lang="en-US" dirty="0" smtClean="0"/>
                            <a:t>Flow</a:t>
                          </a:r>
                        </a:p>
                      </a:txBody>
                      <a:useSpRect/>
                    </a:txSp>
                  </a:sp>
                  <a:sp>
                    <a:nvSpPr>
                      <a:cNvPr id="12" name="Flowchart: Multidocument 11"/>
                      <a:cNvSpPr/>
                    </a:nvSpPr>
                    <a:spPr>
                      <a:xfrm>
                        <a:off x="1676400" y="2209800"/>
                        <a:ext cx="914400" cy="533400"/>
                      </a:xfrm>
                      <a:prstGeom prst="flowChartMultidocument">
                        <a:avLst/>
                      </a:prstGeom>
                      <a:solidFill>
                        <a:srgbClr val="FFFF99"/>
                      </a:solid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1400" dirty="0" smtClean="0">
                              <a:solidFill>
                                <a:schemeClr val="tx1"/>
                              </a:solidFill>
                            </a:rPr>
                            <a:t>Records</a:t>
                          </a:r>
                          <a:endParaRPr lang="en-US" sz="1400" dirty="0">
                            <a:solidFill>
                              <a:schemeClr val="tx1"/>
                            </a:solidFill>
                          </a:endParaRPr>
                        </a:p>
                      </a:txBody>
                      <a:useSpRect/>
                    </a:txSp>
                    <a:style>
                      <a:lnRef idx="1">
                        <a:schemeClr val="accent3"/>
                      </a:lnRef>
                      <a:fillRef idx="3">
                        <a:schemeClr val="accent3"/>
                      </a:fillRef>
                      <a:effectRef idx="2">
                        <a:schemeClr val="accent3"/>
                      </a:effectRef>
                      <a:fontRef idx="minor">
                        <a:schemeClr val="lt1"/>
                      </a:fontRef>
                    </a:style>
                  </a:sp>
                  <a:sp>
                    <a:nvSpPr>
                      <a:cNvPr id="25" name="Rectangle 24"/>
                      <a:cNvSpPr/>
                    </a:nvSpPr>
                    <a:spPr>
                      <a:xfrm>
                        <a:off x="228600" y="2362200"/>
                        <a:ext cx="1066800" cy="381000"/>
                      </a:xfrm>
                      <a:prstGeom prst="rect">
                        <a:avLst/>
                      </a:prstGeom>
                      <a:noFill/>
                      <a:ln>
                        <a:no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dirty="0" smtClean="0">
                              <a:solidFill>
                                <a:schemeClr val="tx2">
                                  <a:lumMod val="75000"/>
                                </a:schemeClr>
                              </a:solidFill>
                            </a:rPr>
                            <a:t>Records</a:t>
                          </a:r>
                          <a:endParaRPr lang="en-US" dirty="0">
                            <a:solidFill>
                              <a:schemeClr val="tx2">
                                <a:lumMod val="75000"/>
                              </a:schemeClr>
                            </a:solidFill>
                          </a:endParaRPr>
                        </a:p>
                      </a:txBody>
                      <a:useSpRect/>
                    </a:txSp>
                    <a:style>
                      <a:lnRef idx="1">
                        <a:schemeClr val="accent1"/>
                      </a:lnRef>
                      <a:fillRef idx="3">
                        <a:schemeClr val="accent1"/>
                      </a:fillRef>
                      <a:effectRef idx="2">
                        <a:schemeClr val="accent1"/>
                      </a:effectRef>
                      <a:fontRef idx="minor">
                        <a:schemeClr val="lt1"/>
                      </a:fontRef>
                    </a:style>
                  </a:sp>
                  <a:sp>
                    <a:nvSpPr>
                      <a:cNvPr id="40" name="TextBox 39"/>
                      <a:cNvSpPr txBox="1"/>
                    </a:nvSpPr>
                    <a:spPr>
                      <a:xfrm>
                        <a:off x="4876800" y="5638800"/>
                        <a:ext cx="4267200" cy="584775"/>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600" dirty="0" smtClean="0"/>
                            <a:t>*HL7 EHR Lifecycle Model Release 1, Draft Standard for Trial Use. 27 January 2008</a:t>
                          </a:r>
                          <a:endParaRPr lang="en-US" sz="1600" dirty="0"/>
                        </a:p>
                      </a:txBody>
                      <a:useSpRect/>
                    </a:txSp>
                  </a:sp>
                  <a:sp>
                    <a:nvSpPr>
                      <a:cNvPr id="33" name="TextBox 32"/>
                      <a:cNvSpPr txBox="1"/>
                    </a:nvSpPr>
                    <a:spPr>
                      <a:xfrm>
                        <a:off x="0" y="1371600"/>
                        <a:ext cx="1600200" cy="830997"/>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sz="1600" b="1" dirty="0" smtClean="0">
                              <a:solidFill>
                                <a:schemeClr val="accent1">
                                  <a:lumMod val="50000"/>
                                </a:schemeClr>
                              </a:solidFill>
                            </a:rPr>
                            <a:t>Clinical </a:t>
                          </a:r>
                          <a:r>
                            <a:rPr lang="en-US" sz="1600" b="1" dirty="0" smtClean="0">
                              <a:solidFill>
                                <a:schemeClr val="accent1">
                                  <a:lumMod val="50000"/>
                                </a:schemeClr>
                              </a:solidFill>
                            </a:rPr>
                            <a:t>Encounter’s Functions</a:t>
                          </a:r>
                          <a:endParaRPr lang="en-US" sz="1600" b="1" dirty="0" smtClean="0">
                            <a:solidFill>
                              <a:schemeClr val="accent1">
                                <a:lumMod val="50000"/>
                              </a:schemeClr>
                            </a:solidFill>
                          </a:endParaRPr>
                        </a:p>
                      </a:txBody>
                      <a:useSpRect/>
                    </a:txSp>
                  </a:sp>
                  <a:graphicFrame>
                    <a:nvGraphicFramePr>
                      <a:cNvPr id="35" name="Diagram 34"/>
                      <a:cNvGraphicFramePr/>
                    </a:nvGraphicFramePr>
                    <a:graphic>
                      <a:graphicData uri="http://schemas.openxmlformats.org/drawingml/2006/diagram">
                        <dgm:relIds xmlns:dgm="http://schemas.openxmlformats.org/drawingml/2006/diagram" xmlns:r="http://schemas.openxmlformats.org/officeDocument/2006/relationships" r:dm="rId14" r:lo="rId15" r:qs="rId16" r:cs="rId17"/>
                      </a:graphicData>
                    </a:graphic>
                    <a:xfrm>
                      <a:off x="1524000" y="1447800"/>
                      <a:ext cx="7391400" cy="762000"/>
                    </a:xfrm>
                  </a:graphicFrame>
                  <a:sp>
                    <a:nvSpPr>
                      <a:cNvPr id="43" name="Flowchart: Multidocument 42"/>
                      <a:cNvSpPr/>
                    </a:nvSpPr>
                    <a:spPr>
                      <a:xfrm>
                        <a:off x="2895600" y="2209800"/>
                        <a:ext cx="914400" cy="533400"/>
                      </a:xfrm>
                      <a:prstGeom prst="flowChartMultidocument">
                        <a:avLst/>
                      </a:prstGeom>
                      <a:solidFill>
                        <a:srgbClr val="FFFF99"/>
                      </a:solid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1400" dirty="0" smtClean="0">
                              <a:solidFill>
                                <a:schemeClr val="tx1"/>
                              </a:solidFill>
                            </a:rPr>
                            <a:t>Records</a:t>
                          </a:r>
                          <a:endParaRPr lang="en-US" sz="1400" dirty="0">
                            <a:solidFill>
                              <a:schemeClr val="tx1"/>
                            </a:solidFill>
                          </a:endParaRPr>
                        </a:p>
                      </a:txBody>
                      <a:useSpRect/>
                    </a:txSp>
                    <a:style>
                      <a:lnRef idx="1">
                        <a:schemeClr val="accent3"/>
                      </a:lnRef>
                      <a:fillRef idx="3">
                        <a:schemeClr val="accent3"/>
                      </a:fillRef>
                      <a:effectRef idx="2">
                        <a:schemeClr val="accent3"/>
                      </a:effectRef>
                      <a:fontRef idx="minor">
                        <a:schemeClr val="lt1"/>
                      </a:fontRef>
                    </a:style>
                  </a:sp>
                  <a:sp>
                    <a:nvSpPr>
                      <a:cNvPr id="45" name="Flowchart: Multidocument 44"/>
                      <a:cNvSpPr/>
                    </a:nvSpPr>
                    <a:spPr>
                      <a:xfrm>
                        <a:off x="4038600" y="2209800"/>
                        <a:ext cx="914400" cy="533400"/>
                      </a:xfrm>
                      <a:prstGeom prst="flowChartMultidocument">
                        <a:avLst/>
                      </a:prstGeom>
                      <a:solidFill>
                        <a:srgbClr val="FFFF99"/>
                      </a:solid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1400" dirty="0" smtClean="0">
                              <a:solidFill>
                                <a:schemeClr val="tx1"/>
                              </a:solidFill>
                            </a:rPr>
                            <a:t>Records</a:t>
                          </a:r>
                          <a:endParaRPr lang="en-US" sz="1400" dirty="0">
                            <a:solidFill>
                              <a:schemeClr val="tx1"/>
                            </a:solidFill>
                          </a:endParaRPr>
                        </a:p>
                      </a:txBody>
                      <a:useSpRect/>
                    </a:txSp>
                    <a:style>
                      <a:lnRef idx="1">
                        <a:schemeClr val="accent3"/>
                      </a:lnRef>
                      <a:fillRef idx="3">
                        <a:schemeClr val="accent3"/>
                      </a:fillRef>
                      <a:effectRef idx="2">
                        <a:schemeClr val="accent3"/>
                      </a:effectRef>
                      <a:fontRef idx="minor">
                        <a:schemeClr val="lt1"/>
                      </a:fontRef>
                    </a:style>
                  </a:sp>
                  <a:sp>
                    <a:nvSpPr>
                      <a:cNvPr id="46" name="Flowchart: Multidocument 45"/>
                      <a:cNvSpPr/>
                    </a:nvSpPr>
                    <a:spPr>
                      <a:xfrm>
                        <a:off x="5257800" y="2209800"/>
                        <a:ext cx="914400" cy="533400"/>
                      </a:xfrm>
                      <a:prstGeom prst="flowChartMultidocument">
                        <a:avLst/>
                      </a:prstGeom>
                      <a:solidFill>
                        <a:srgbClr val="FFFF99"/>
                      </a:solid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1400" dirty="0" smtClean="0">
                              <a:solidFill>
                                <a:schemeClr val="tx1"/>
                              </a:solidFill>
                            </a:rPr>
                            <a:t>Records</a:t>
                          </a:r>
                          <a:endParaRPr lang="en-US" sz="1400" dirty="0">
                            <a:solidFill>
                              <a:schemeClr val="tx1"/>
                            </a:solidFill>
                          </a:endParaRPr>
                        </a:p>
                      </a:txBody>
                      <a:useSpRect/>
                    </a:txSp>
                    <a:style>
                      <a:lnRef idx="1">
                        <a:schemeClr val="accent3"/>
                      </a:lnRef>
                      <a:fillRef idx="3">
                        <a:schemeClr val="accent3"/>
                      </a:fillRef>
                      <a:effectRef idx="2">
                        <a:schemeClr val="accent3"/>
                      </a:effectRef>
                      <a:fontRef idx="minor">
                        <a:schemeClr val="lt1"/>
                      </a:fontRef>
                    </a:style>
                  </a:sp>
                  <a:sp>
                    <a:nvSpPr>
                      <a:cNvPr id="47" name="Flowchart: Multidocument 46"/>
                      <a:cNvSpPr/>
                    </a:nvSpPr>
                    <a:spPr>
                      <a:xfrm>
                        <a:off x="6477000" y="2209800"/>
                        <a:ext cx="914400" cy="533400"/>
                      </a:xfrm>
                      <a:prstGeom prst="flowChartMultidocument">
                        <a:avLst/>
                      </a:prstGeom>
                      <a:solidFill>
                        <a:srgbClr val="FFFF99"/>
                      </a:solid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1400" dirty="0" smtClean="0">
                              <a:solidFill>
                                <a:schemeClr val="tx1"/>
                              </a:solidFill>
                            </a:rPr>
                            <a:t>Records</a:t>
                          </a:r>
                          <a:endParaRPr lang="en-US" sz="1400" dirty="0">
                            <a:solidFill>
                              <a:schemeClr val="tx1"/>
                            </a:solidFill>
                          </a:endParaRPr>
                        </a:p>
                      </a:txBody>
                      <a:useSpRect/>
                    </a:txSp>
                    <a:style>
                      <a:lnRef idx="1">
                        <a:schemeClr val="accent3"/>
                      </a:lnRef>
                      <a:fillRef idx="3">
                        <a:schemeClr val="accent3"/>
                      </a:fillRef>
                      <a:effectRef idx="2">
                        <a:schemeClr val="accent3"/>
                      </a:effectRef>
                      <a:fontRef idx="minor">
                        <a:schemeClr val="lt1"/>
                      </a:fontRef>
                    </a:style>
                  </a:sp>
                  <a:sp>
                    <a:nvSpPr>
                      <a:cNvPr id="48" name="Flowchart: Multidocument 47"/>
                      <a:cNvSpPr/>
                    </a:nvSpPr>
                    <a:spPr>
                      <a:xfrm>
                        <a:off x="7696200" y="2209800"/>
                        <a:ext cx="914400" cy="533400"/>
                      </a:xfrm>
                      <a:prstGeom prst="flowChartMultidocument">
                        <a:avLst/>
                      </a:prstGeom>
                      <a:solidFill>
                        <a:srgbClr val="FFFF99"/>
                      </a:solid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1400" dirty="0" smtClean="0">
                              <a:solidFill>
                                <a:schemeClr val="tx1"/>
                              </a:solidFill>
                            </a:rPr>
                            <a:t>Records</a:t>
                          </a:r>
                          <a:endParaRPr lang="en-US" sz="1400" dirty="0">
                            <a:solidFill>
                              <a:schemeClr val="tx1"/>
                            </a:solidFill>
                          </a:endParaRPr>
                        </a:p>
                      </a:txBody>
                      <a:useSpRect/>
                    </a:txSp>
                    <a:style>
                      <a:lnRef idx="1">
                        <a:schemeClr val="accent3"/>
                      </a:lnRef>
                      <a:fillRef idx="3">
                        <a:schemeClr val="accent3"/>
                      </a:fillRef>
                      <a:effectRef idx="2">
                        <a:schemeClr val="accent3"/>
                      </a:effectRef>
                      <a:fontRef idx="minor">
                        <a:schemeClr val="lt1"/>
                      </a:fontRef>
                    </a:style>
                  </a:sp>
                  <a:sp>
                    <a:nvSpPr>
                      <a:cNvPr id="50" name="Title 1"/>
                      <a:cNvSpPr txBox="1">
                        <a:spLocks/>
                      </a:cNvSpPr>
                    </a:nvSpPr>
                    <a:spPr>
                      <a:xfrm>
                        <a:off x="0" y="457200"/>
                        <a:ext cx="9144000" cy="609600"/>
                      </a:xfrm>
                      <a:prstGeom prst="rect">
                        <a:avLst/>
                      </a:prstGeom>
                    </a:spPr>
                    <a:txSp>
                      <a:txBody>
                        <a:bodyPr vert="horz" lIns="91440" tIns="45720" rIns="91440" bIns="45720" rtlCol="0" anchor="ctr">
                          <a:no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457200" rtl="0" eaLnBrk="1" fontAlgn="auto" latinLnBrk="0" hangingPunct="1">
                            <a:lnSpc>
                              <a:spcPct val="100000"/>
                            </a:lnSpc>
                            <a:spcBef>
                              <a:spcPct val="0"/>
                            </a:spcBef>
                            <a:spcAft>
                              <a:spcPts val="0"/>
                            </a:spcAft>
                            <a:buClrTx/>
                            <a:buSzTx/>
                            <a:buFontTx/>
                            <a:buNone/>
                            <a:tabLst/>
                            <a:defRPr/>
                          </a:pPr>
                          <a:r>
                            <a:rPr kumimoji="0" lang="en-US" sz="2000" b="1" i="0" u="none" strike="noStrike" kern="1200" cap="none" spc="0" normalizeH="0" baseline="0" noProof="0" dirty="0" smtClean="0">
                              <a:ln>
                                <a:noFill/>
                              </a:ln>
                              <a:solidFill>
                                <a:schemeClr val="accent2">
                                  <a:lumMod val="50000"/>
                                </a:schemeClr>
                              </a:solidFill>
                              <a:effectLst/>
                              <a:uLnTx/>
                              <a:uFillTx/>
                              <a:latin typeface="+mj-lt"/>
                              <a:ea typeface="+mj-ea"/>
                              <a:cs typeface="+mj-cs"/>
                            </a:rPr>
                            <a:t>HIM Practice A1. All documents are accounted for</a:t>
                          </a:r>
                          <a:br>
                            <a:rPr kumimoji="0" lang="en-US" sz="2000" b="1" i="0" u="none" strike="noStrike" kern="1200" cap="none" spc="0" normalizeH="0" baseline="0" noProof="0" dirty="0" smtClean="0">
                              <a:ln>
                                <a:noFill/>
                              </a:ln>
                              <a:solidFill>
                                <a:schemeClr val="accent2">
                                  <a:lumMod val="50000"/>
                                </a:schemeClr>
                              </a:solidFill>
                              <a:effectLst/>
                              <a:uLnTx/>
                              <a:uFillTx/>
                              <a:latin typeface="+mj-lt"/>
                              <a:ea typeface="+mj-ea"/>
                              <a:cs typeface="+mj-cs"/>
                            </a:rPr>
                          </a:br>
                          <a:r>
                            <a:rPr kumimoji="0" lang="en-US" sz="1800" b="1" i="0" u="none" strike="noStrike" kern="1200" cap="none" spc="0" normalizeH="0" baseline="0" noProof="0" dirty="0" smtClean="0">
                              <a:ln>
                                <a:noFill/>
                              </a:ln>
                              <a:solidFill>
                                <a:schemeClr val="accent2">
                                  <a:lumMod val="50000"/>
                                </a:schemeClr>
                              </a:solidFill>
                              <a:effectLst/>
                              <a:uLnTx/>
                              <a:uFillTx/>
                              <a:latin typeface="+mj-lt"/>
                              <a:ea typeface="+mj-ea"/>
                              <a:cs typeface="+mj-cs"/>
                            </a:rPr>
                            <a:t>Use Case  A1.1: All documents are accounted for in a specific timeframe after discharge </a:t>
                          </a:r>
                          <a:endParaRPr kumimoji="0" lang="en-US" sz="1800" b="1" i="0" u="none" strike="noStrike" kern="1200" cap="none" spc="0" normalizeH="0" baseline="0" noProof="0" dirty="0">
                            <a:ln>
                              <a:noFill/>
                            </a:ln>
                            <a:solidFill>
                              <a:schemeClr val="accent2">
                                <a:lumMod val="50000"/>
                              </a:schemeClr>
                            </a:solidFill>
                            <a:effectLst/>
                            <a:uLnTx/>
                            <a:uFillTx/>
                            <a:latin typeface="+mj-lt"/>
                            <a:ea typeface="+mj-ea"/>
                            <a:cs typeface="+mj-cs"/>
                          </a:endParaRPr>
                        </a:p>
                      </a:txBody>
                      <a:useSpRect/>
                    </a:txSp>
                  </a:sp>
                  <a:sp>
                    <a:nvSpPr>
                      <a:cNvPr id="51" name="Rectangle 50"/>
                      <a:cNvSpPr/>
                    </a:nvSpPr>
                    <a:spPr>
                      <a:xfrm>
                        <a:off x="8305800" y="6019800"/>
                        <a:ext cx="838200" cy="457200"/>
                      </a:xfrm>
                      <a:prstGeom prst="rect">
                        <a:avLst/>
                      </a:prstGeom>
                      <a:solidFill>
                        <a:schemeClr val="bg1"/>
                      </a:solidFill>
                      <a:ln>
                        <a:no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1">
                        <a:schemeClr val="accent1"/>
                      </a:lnRef>
                      <a:fillRef idx="3">
                        <a:schemeClr val="accent1"/>
                      </a:fillRef>
                      <a:effectRef idx="2">
                        <a:schemeClr val="accent1"/>
                      </a:effectRef>
                      <a:fontRef idx="minor">
                        <a:schemeClr val="lt1"/>
                      </a:fontRef>
                    </a:style>
                  </a:sp>
                </lc:lockedCanvas>
              </a:graphicData>
            </a:graphic>
          </wp:inline>
        </w:drawing>
      </w:r>
    </w:p>
    <w:p w:rsidR="00A73A91" w:rsidRDefault="00A73A91" w:rsidP="003A4D62">
      <w:pPr>
        <w:spacing w:after="0" w:line="240" w:lineRule="auto"/>
      </w:pPr>
    </w:p>
    <w:p w:rsidR="00A73A91" w:rsidRDefault="00A73A91" w:rsidP="00A73A91">
      <w:pPr>
        <w:spacing w:after="0" w:line="240" w:lineRule="auto"/>
        <w:ind w:left="810" w:hanging="810"/>
      </w:pPr>
      <w:r>
        <w:t>Figure 2. Example of Encounter and Various Health Information Systems (Technical Actors) Involved in Documenting Clinical Pathway.</w:t>
      </w:r>
    </w:p>
    <w:sectPr w:rsidR="00A73A91" w:rsidSect="008E07DE">
      <w:headerReference w:type="default" r:id="rId1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2515" w:rsidRDefault="00252515" w:rsidP="00F0717A">
      <w:pPr>
        <w:spacing w:after="0" w:line="240" w:lineRule="auto"/>
      </w:pPr>
      <w:r>
        <w:separator/>
      </w:r>
    </w:p>
  </w:endnote>
  <w:endnote w:type="continuationSeparator" w:id="0">
    <w:p w:rsidR="00252515" w:rsidRDefault="00252515" w:rsidP="00F071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2515" w:rsidRDefault="00252515" w:rsidP="00F0717A">
      <w:pPr>
        <w:spacing w:after="0" w:line="240" w:lineRule="auto"/>
      </w:pPr>
      <w:r>
        <w:separator/>
      </w:r>
    </w:p>
  </w:footnote>
  <w:footnote w:type="continuationSeparator" w:id="0">
    <w:p w:rsidR="00252515" w:rsidRDefault="00252515" w:rsidP="00F0717A">
      <w:pPr>
        <w:spacing w:after="0" w:line="240" w:lineRule="auto"/>
      </w:pPr>
      <w:r>
        <w:continuationSeparator/>
      </w:r>
    </w:p>
  </w:footnote>
  <w:footnote w:id="1">
    <w:p w:rsidR="003E1F59" w:rsidRDefault="003E1F59">
      <w:pPr>
        <w:pStyle w:val="FootnoteText"/>
      </w:pPr>
      <w:r>
        <w:rPr>
          <w:rStyle w:val="FootnoteReference"/>
        </w:rPr>
        <w:footnoteRef/>
      </w:r>
      <w:r>
        <w:t xml:space="preserve"> </w:t>
      </w:r>
      <w:r w:rsidRPr="00F0717A">
        <w:t>Grzybowski, D. (2014). Strategies for electronic document and health record management. Chicago, IL : AHIMA  . pages. 31, 40, 47, 159</w:t>
      </w:r>
    </w:p>
  </w:footnote>
  <w:footnote w:id="2">
    <w:p w:rsidR="003E1F59" w:rsidRDefault="003E1F59">
      <w:pPr>
        <w:pStyle w:val="FootnoteText"/>
      </w:pPr>
      <w:r>
        <w:rPr>
          <w:rStyle w:val="FootnoteReference"/>
        </w:rPr>
        <w:footnoteRef/>
      </w:r>
      <w:r>
        <w:t xml:space="preserve"> Forms Management. Hospital </w:t>
      </w:r>
      <w:r w:rsidRPr="00DA560C">
        <w:t>Policy. University of Vanderbilt, Nashville TN. June 12, 2000</w:t>
      </w:r>
    </w:p>
  </w:footnote>
  <w:footnote w:id="3">
    <w:p w:rsidR="003E1F59" w:rsidRDefault="003E1F59">
      <w:pPr>
        <w:pStyle w:val="FootnoteText"/>
      </w:pPr>
      <w:r>
        <w:rPr>
          <w:rStyle w:val="FootnoteReference"/>
        </w:rPr>
        <w:footnoteRef/>
      </w:r>
      <w:r>
        <w:t xml:space="preserve"> </w:t>
      </w:r>
      <w:r w:rsidRPr="00DA560C">
        <w:t>Quinsey CA. Managing forms and legal electronic health records. JAHIMA, July 2007, p.58-59</w:t>
      </w:r>
    </w:p>
  </w:footnote>
  <w:footnote w:id="4">
    <w:p w:rsidR="003E1F59" w:rsidRDefault="003E1F59" w:rsidP="006C0F49">
      <w:pPr>
        <w:pStyle w:val="FootnoteText"/>
      </w:pPr>
      <w:r>
        <w:rPr>
          <w:rStyle w:val="FootnoteReference"/>
        </w:rPr>
        <w:footnoteRef/>
      </w:r>
      <w:r>
        <w:t xml:space="preserve"> Forms Management. Hospital </w:t>
      </w:r>
      <w:r w:rsidRPr="00DA560C">
        <w:t>Policy. University of Vanderbilt, Nashville TN. June 12, 2000</w:t>
      </w:r>
    </w:p>
  </w:footnote>
  <w:footnote w:id="5">
    <w:p w:rsidR="003E1F59" w:rsidRDefault="003E1F59">
      <w:pPr>
        <w:pStyle w:val="FootnoteText"/>
      </w:pPr>
      <w:r>
        <w:rPr>
          <w:rStyle w:val="FootnoteReference"/>
        </w:rPr>
        <w:footnoteRef/>
      </w:r>
      <w:r>
        <w:t xml:space="preserve"> McGraw Hill Dictionary of Scientific and Technical Terms. 2003</w:t>
      </w:r>
    </w:p>
  </w:footnote>
  <w:footnote w:id="6">
    <w:p w:rsidR="003E1F59" w:rsidRDefault="003E1F59">
      <w:pPr>
        <w:pStyle w:val="FootnoteText"/>
      </w:pPr>
      <w:r>
        <w:rPr>
          <w:rStyle w:val="FootnoteReference"/>
        </w:rPr>
        <w:footnoteRef/>
      </w:r>
      <w:r>
        <w:t xml:space="preserve"> AHIMA Pocket Glossary of Health Information Management and Technology. 2014. </w:t>
      </w:r>
    </w:p>
  </w:footnote>
  <w:footnote w:id="7">
    <w:p w:rsidR="003E1F59" w:rsidRDefault="003E1F59" w:rsidP="00833ECE">
      <w:pPr>
        <w:pStyle w:val="FootnoteText"/>
      </w:pPr>
      <w:r>
        <w:rPr>
          <w:rStyle w:val="FootnoteReference"/>
        </w:rPr>
        <w:footnoteRef/>
      </w:r>
      <w:r>
        <w:t xml:space="preserve"> AHIMA Pocket Glossary of Health Information Management and Technology. 2014. </w:t>
      </w:r>
    </w:p>
  </w:footnote>
  <w:footnote w:id="8">
    <w:p w:rsidR="003E1F59" w:rsidRDefault="003E1F59">
      <w:pPr>
        <w:pStyle w:val="FootnoteText"/>
      </w:pPr>
      <w:r>
        <w:rPr>
          <w:rStyle w:val="FootnoteReference"/>
        </w:rPr>
        <w:footnoteRef/>
      </w:r>
      <w:r>
        <w:t xml:space="preserve"> Health Information Management and Systems Society (HIMSS). Dictionary of Healthcare Information Technology Terms, Acronyms and Organizations. 2010.</w:t>
      </w:r>
    </w:p>
  </w:footnote>
  <w:footnote w:id="9">
    <w:p w:rsidR="003E1F59" w:rsidRDefault="003E1F59" w:rsidP="002A7363">
      <w:pPr>
        <w:pStyle w:val="FootnoteText"/>
      </w:pPr>
      <w:r>
        <w:rPr>
          <w:rStyle w:val="FootnoteReference"/>
        </w:rPr>
        <w:footnoteRef/>
      </w:r>
      <w:r>
        <w:t xml:space="preserve"> AHIMA Pocket Glossary of Health Information Management and Technology. 2014.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75990"/>
      <w:docPartObj>
        <w:docPartGallery w:val="Page Numbers (Top of Page)"/>
        <w:docPartUnique/>
      </w:docPartObj>
    </w:sdtPr>
    <w:sdtContent>
      <w:p w:rsidR="003E1F59" w:rsidRDefault="003E1F59">
        <w:pPr>
          <w:pStyle w:val="Header"/>
          <w:jc w:val="right"/>
        </w:pPr>
        <w:fldSimple w:instr=" PAGE   \* MERGEFORMAT ">
          <w:r w:rsidR="00252515">
            <w:rPr>
              <w:noProof/>
            </w:rPr>
            <w:t>1</w:t>
          </w:r>
        </w:fldSimple>
      </w:p>
    </w:sdtContent>
  </w:sdt>
  <w:p w:rsidR="003E1F59" w:rsidRDefault="003E1F5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24544"/>
    <w:multiLevelType w:val="hybridMultilevel"/>
    <w:tmpl w:val="9C444276"/>
    <w:lvl w:ilvl="0" w:tplc="F0B4C72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0820A6"/>
    <w:multiLevelType w:val="hybridMultilevel"/>
    <w:tmpl w:val="7AA81F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80934F4"/>
    <w:multiLevelType w:val="hybridMultilevel"/>
    <w:tmpl w:val="5282B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5E3401"/>
    <w:rsid w:val="00022E0C"/>
    <w:rsid w:val="000714BD"/>
    <w:rsid w:val="00110632"/>
    <w:rsid w:val="00185DBE"/>
    <w:rsid w:val="00252515"/>
    <w:rsid w:val="002A7363"/>
    <w:rsid w:val="002B68F0"/>
    <w:rsid w:val="003A4D62"/>
    <w:rsid w:val="003E1F59"/>
    <w:rsid w:val="00433D0D"/>
    <w:rsid w:val="00452C10"/>
    <w:rsid w:val="004A01C7"/>
    <w:rsid w:val="004B7FCE"/>
    <w:rsid w:val="004D320B"/>
    <w:rsid w:val="005A758D"/>
    <w:rsid w:val="005E3401"/>
    <w:rsid w:val="006C0F49"/>
    <w:rsid w:val="00766F22"/>
    <w:rsid w:val="007D1BE4"/>
    <w:rsid w:val="00833ECE"/>
    <w:rsid w:val="008D623F"/>
    <w:rsid w:val="008E07DE"/>
    <w:rsid w:val="00A069D7"/>
    <w:rsid w:val="00A73A91"/>
    <w:rsid w:val="00C539C6"/>
    <w:rsid w:val="00DA560C"/>
    <w:rsid w:val="00E40E37"/>
    <w:rsid w:val="00ED3CAB"/>
    <w:rsid w:val="00ED750E"/>
    <w:rsid w:val="00F0717A"/>
    <w:rsid w:val="00F41B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7D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0717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0717A"/>
    <w:rPr>
      <w:sz w:val="20"/>
      <w:szCs w:val="20"/>
    </w:rPr>
  </w:style>
  <w:style w:type="character" w:styleId="FootnoteReference">
    <w:name w:val="footnote reference"/>
    <w:basedOn w:val="DefaultParagraphFont"/>
    <w:uiPriority w:val="99"/>
    <w:semiHidden/>
    <w:unhideWhenUsed/>
    <w:rsid w:val="00F0717A"/>
    <w:rPr>
      <w:vertAlign w:val="superscript"/>
    </w:rPr>
  </w:style>
  <w:style w:type="paragraph" w:styleId="ListParagraph">
    <w:name w:val="List Paragraph"/>
    <w:basedOn w:val="Normal"/>
    <w:uiPriority w:val="34"/>
    <w:qFormat/>
    <w:rsid w:val="00F0717A"/>
    <w:pPr>
      <w:ind w:left="720"/>
      <w:contextualSpacing/>
    </w:pPr>
  </w:style>
  <w:style w:type="paragraph" w:styleId="BalloonText">
    <w:name w:val="Balloon Text"/>
    <w:basedOn w:val="Normal"/>
    <w:link w:val="BalloonTextChar"/>
    <w:uiPriority w:val="99"/>
    <w:semiHidden/>
    <w:unhideWhenUsed/>
    <w:rsid w:val="00DA56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560C"/>
    <w:rPr>
      <w:rFonts w:ascii="Tahoma" w:hAnsi="Tahoma" w:cs="Tahoma"/>
      <w:sz w:val="16"/>
      <w:szCs w:val="16"/>
    </w:rPr>
  </w:style>
  <w:style w:type="table" w:styleId="TableGrid">
    <w:name w:val="Table Grid"/>
    <w:basedOn w:val="TableNormal"/>
    <w:uiPriority w:val="59"/>
    <w:rsid w:val="00022E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714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14BD"/>
  </w:style>
  <w:style w:type="paragraph" w:styleId="Footer">
    <w:name w:val="footer"/>
    <w:basedOn w:val="Normal"/>
    <w:link w:val="FooterChar"/>
    <w:uiPriority w:val="99"/>
    <w:semiHidden/>
    <w:unhideWhenUsed/>
    <w:rsid w:val="000714B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714BD"/>
  </w:style>
</w:styles>
</file>

<file path=word/webSettings.xml><?xml version="1.0" encoding="utf-8"?>
<w:webSettings xmlns:r="http://schemas.openxmlformats.org/officeDocument/2006/relationships" xmlns:w="http://schemas.openxmlformats.org/wordprocessingml/2006/main">
  <w:divs>
    <w:div w:id="57364417">
      <w:bodyDiv w:val="1"/>
      <w:marLeft w:val="0"/>
      <w:marRight w:val="0"/>
      <w:marTop w:val="0"/>
      <w:marBottom w:val="0"/>
      <w:divBdr>
        <w:top w:val="none" w:sz="0" w:space="0" w:color="auto"/>
        <w:left w:val="none" w:sz="0" w:space="0" w:color="auto"/>
        <w:bottom w:val="none" w:sz="0" w:space="0" w:color="auto"/>
        <w:right w:val="none" w:sz="0" w:space="0" w:color="auto"/>
      </w:divBdr>
    </w:div>
    <w:div w:id="1742173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image" Target="media/image1.png"/><Relationship Id="rId18" Type="http://schemas.microsoft.com/office/2007/relationships/diagramDrawing" Target="diagrams/drawing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diagramColors" Target="diagrams/colors2.xml"/><Relationship Id="rId2" Type="http://schemas.openxmlformats.org/officeDocument/2006/relationships/numbering" Target="numbering.xml"/><Relationship Id="rId16" Type="http://schemas.openxmlformats.org/officeDocument/2006/relationships/diagramQuickStyle" Target="diagrams/quickStyle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diagramLayout" Target="diagrams/layout2.xml"/><Relationship Id="rId10" Type="http://schemas.openxmlformats.org/officeDocument/2006/relationships/diagramQuickStyle" Target="diagrams/quickStyle1.xm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Data" Target="diagrams/data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C436CC0-6504-481F-B3AB-BB03E222A8D8}" type="doc">
      <dgm:prSet loTypeId="urn:microsoft.com/office/officeart/2005/8/layout/chevron1" loCatId="process" qsTypeId="urn:microsoft.com/office/officeart/2005/8/quickstyle/simple1" qsCatId="simple" csTypeId="urn:microsoft.com/office/officeart/2005/8/colors/accent1_2" csCatId="accent1" phldr="1"/>
      <dgm:spPr/>
    </dgm:pt>
    <dgm:pt modelId="{9A6BF2DB-E8A8-473A-9970-3FA7837DFBA9}">
      <dgm:prSet phldrT="[Text]"/>
      <dgm:spPr/>
      <dgm:t>
        <a:bodyPr/>
        <a:lstStyle/>
        <a:p>
          <a:r>
            <a:rPr lang="en-US" dirty="0" smtClean="0"/>
            <a:t>Patient Registration</a:t>
          </a:r>
          <a:endParaRPr lang="en-US" dirty="0"/>
        </a:p>
      </dgm:t>
    </dgm:pt>
    <dgm:pt modelId="{670F33BC-D249-4EED-B68B-63ED5FCF0BD4}" type="parTrans" cxnId="{D06F77A4-7BF3-41B5-916F-A07DF9033488}">
      <dgm:prSet/>
      <dgm:spPr/>
      <dgm:t>
        <a:bodyPr/>
        <a:lstStyle/>
        <a:p>
          <a:endParaRPr lang="en-US"/>
        </a:p>
      </dgm:t>
    </dgm:pt>
    <dgm:pt modelId="{B63FF161-1676-4BED-99A1-9383BBAB6F08}" type="sibTrans" cxnId="{D06F77A4-7BF3-41B5-916F-A07DF9033488}">
      <dgm:prSet/>
      <dgm:spPr/>
      <dgm:t>
        <a:bodyPr/>
        <a:lstStyle/>
        <a:p>
          <a:endParaRPr lang="en-US"/>
        </a:p>
      </dgm:t>
    </dgm:pt>
    <dgm:pt modelId="{4C815540-B0AB-4160-8BAC-4DEA516887CF}">
      <dgm:prSet phldrT="[Text]"/>
      <dgm:spPr/>
      <dgm:t>
        <a:bodyPr/>
        <a:lstStyle/>
        <a:p>
          <a:r>
            <a:rPr lang="en-US" dirty="0" smtClean="0"/>
            <a:t>Assessment</a:t>
          </a:r>
          <a:endParaRPr lang="en-US" dirty="0"/>
        </a:p>
      </dgm:t>
    </dgm:pt>
    <dgm:pt modelId="{767115DD-A224-4C71-98B6-F60C10464984}" type="parTrans" cxnId="{F3417027-4254-4241-B66A-7435AC966858}">
      <dgm:prSet/>
      <dgm:spPr/>
      <dgm:t>
        <a:bodyPr/>
        <a:lstStyle/>
        <a:p>
          <a:endParaRPr lang="en-US"/>
        </a:p>
      </dgm:t>
    </dgm:pt>
    <dgm:pt modelId="{AA4A6D8D-2908-49FA-8431-C28B00506FF5}" type="sibTrans" cxnId="{F3417027-4254-4241-B66A-7435AC966858}">
      <dgm:prSet/>
      <dgm:spPr/>
      <dgm:t>
        <a:bodyPr/>
        <a:lstStyle/>
        <a:p>
          <a:endParaRPr lang="en-US"/>
        </a:p>
      </dgm:t>
    </dgm:pt>
    <dgm:pt modelId="{FDB893FD-BBAF-43EF-AFA7-B249BE94FF4F}">
      <dgm:prSet phldrT="[Text]"/>
      <dgm:spPr/>
      <dgm:t>
        <a:bodyPr/>
        <a:lstStyle/>
        <a:p>
          <a:r>
            <a:rPr lang="en-US" dirty="0" smtClean="0"/>
            <a:t>Testing</a:t>
          </a:r>
          <a:endParaRPr lang="en-US" dirty="0"/>
        </a:p>
      </dgm:t>
    </dgm:pt>
    <dgm:pt modelId="{BE194C09-C737-4EF7-AB37-DAF523E75B93}" type="parTrans" cxnId="{E205D11F-5BF6-4AAB-AE81-45CDC607725F}">
      <dgm:prSet/>
      <dgm:spPr/>
      <dgm:t>
        <a:bodyPr/>
        <a:lstStyle/>
        <a:p>
          <a:endParaRPr lang="en-US"/>
        </a:p>
      </dgm:t>
    </dgm:pt>
    <dgm:pt modelId="{B4958221-E409-49E8-8056-FE15684916AB}" type="sibTrans" cxnId="{E205D11F-5BF6-4AAB-AE81-45CDC607725F}">
      <dgm:prSet/>
      <dgm:spPr/>
      <dgm:t>
        <a:bodyPr/>
        <a:lstStyle/>
        <a:p>
          <a:endParaRPr lang="en-US"/>
        </a:p>
      </dgm:t>
    </dgm:pt>
    <dgm:pt modelId="{6008D966-9F1C-4805-84A0-A2AF718ED73D}">
      <dgm:prSet phldrT="[Text]"/>
      <dgm:spPr/>
      <dgm:t>
        <a:bodyPr/>
        <a:lstStyle/>
        <a:p>
          <a:r>
            <a:rPr lang="en-US" dirty="0" smtClean="0"/>
            <a:t>Diagnosis &amp;Care Plan</a:t>
          </a:r>
          <a:endParaRPr lang="en-US" dirty="0"/>
        </a:p>
      </dgm:t>
    </dgm:pt>
    <dgm:pt modelId="{11B171C0-E49B-40FD-B05F-B5E6FE4334F0}" type="parTrans" cxnId="{069FCFC3-81AD-4EC4-9155-88E784A8788F}">
      <dgm:prSet/>
      <dgm:spPr/>
      <dgm:t>
        <a:bodyPr/>
        <a:lstStyle/>
        <a:p>
          <a:endParaRPr lang="en-US"/>
        </a:p>
      </dgm:t>
    </dgm:pt>
    <dgm:pt modelId="{43294AFA-04B9-478C-8EF8-899DD4CDE0B6}" type="sibTrans" cxnId="{069FCFC3-81AD-4EC4-9155-88E784A8788F}">
      <dgm:prSet/>
      <dgm:spPr/>
      <dgm:t>
        <a:bodyPr/>
        <a:lstStyle/>
        <a:p>
          <a:endParaRPr lang="en-US"/>
        </a:p>
      </dgm:t>
    </dgm:pt>
    <dgm:pt modelId="{8DA53BF6-613B-4F3F-9246-7645C105A5A3}">
      <dgm:prSet phldrT="[Text]"/>
      <dgm:spPr/>
      <dgm:t>
        <a:bodyPr/>
        <a:lstStyle/>
        <a:p>
          <a:r>
            <a:rPr lang="en-US" dirty="0" smtClean="0"/>
            <a:t>Prescription</a:t>
          </a:r>
          <a:endParaRPr lang="en-US" dirty="0"/>
        </a:p>
      </dgm:t>
    </dgm:pt>
    <dgm:pt modelId="{E9FB2948-7F69-4142-BC3D-0180799A152F}" type="parTrans" cxnId="{84C23B4A-23D0-49A0-902B-6D808BC70B7E}">
      <dgm:prSet/>
      <dgm:spPr/>
      <dgm:t>
        <a:bodyPr/>
        <a:lstStyle/>
        <a:p>
          <a:endParaRPr lang="en-US"/>
        </a:p>
      </dgm:t>
    </dgm:pt>
    <dgm:pt modelId="{F1A9189C-7777-48F3-B918-47C37E0CD293}" type="sibTrans" cxnId="{84C23B4A-23D0-49A0-902B-6D808BC70B7E}">
      <dgm:prSet/>
      <dgm:spPr/>
      <dgm:t>
        <a:bodyPr/>
        <a:lstStyle/>
        <a:p>
          <a:endParaRPr lang="en-US"/>
        </a:p>
      </dgm:t>
    </dgm:pt>
    <dgm:pt modelId="{41BD5BA6-CCEC-402A-BFE0-80C2BABB5E12}">
      <dgm:prSet phldrT="[Text]"/>
      <dgm:spPr/>
      <dgm:t>
        <a:bodyPr/>
        <a:lstStyle/>
        <a:p>
          <a:r>
            <a:rPr lang="en-US" dirty="0" smtClean="0"/>
            <a:t>Discharge</a:t>
          </a:r>
          <a:endParaRPr lang="en-US" dirty="0"/>
        </a:p>
      </dgm:t>
    </dgm:pt>
    <dgm:pt modelId="{43FEA4B8-C958-4D8D-968D-903715F2E8B1}" type="parTrans" cxnId="{B95F2D80-FF94-43FB-874E-3E0867BBB668}">
      <dgm:prSet/>
      <dgm:spPr/>
      <dgm:t>
        <a:bodyPr/>
        <a:lstStyle/>
        <a:p>
          <a:endParaRPr lang="en-US"/>
        </a:p>
      </dgm:t>
    </dgm:pt>
    <dgm:pt modelId="{5CF7B468-B670-4425-ACB0-B6F1F4234196}" type="sibTrans" cxnId="{B95F2D80-FF94-43FB-874E-3E0867BBB668}">
      <dgm:prSet/>
      <dgm:spPr/>
      <dgm:t>
        <a:bodyPr/>
        <a:lstStyle/>
        <a:p>
          <a:endParaRPr lang="en-US"/>
        </a:p>
      </dgm:t>
    </dgm:pt>
    <dgm:pt modelId="{B9E33F69-44A0-4A86-A071-C4F6AE892802}" type="pres">
      <dgm:prSet presAssocID="{DC436CC0-6504-481F-B3AB-BB03E222A8D8}" presName="Name0" presStyleCnt="0">
        <dgm:presLayoutVars>
          <dgm:dir/>
          <dgm:animLvl val="lvl"/>
          <dgm:resizeHandles val="exact"/>
        </dgm:presLayoutVars>
      </dgm:prSet>
      <dgm:spPr/>
    </dgm:pt>
    <dgm:pt modelId="{A47014A2-4E2C-49EB-AAAF-0E70267BAFEE}" type="pres">
      <dgm:prSet presAssocID="{9A6BF2DB-E8A8-473A-9970-3FA7837DFBA9}" presName="parTxOnly" presStyleLbl="node1" presStyleIdx="0" presStyleCnt="6">
        <dgm:presLayoutVars>
          <dgm:chMax val="0"/>
          <dgm:chPref val="0"/>
          <dgm:bulletEnabled val="1"/>
        </dgm:presLayoutVars>
      </dgm:prSet>
      <dgm:spPr/>
      <dgm:t>
        <a:bodyPr/>
        <a:lstStyle/>
        <a:p>
          <a:endParaRPr lang="en-US"/>
        </a:p>
      </dgm:t>
    </dgm:pt>
    <dgm:pt modelId="{0EB45F75-6891-4BCB-82DA-0E6F275DB859}" type="pres">
      <dgm:prSet presAssocID="{B63FF161-1676-4BED-99A1-9383BBAB6F08}" presName="parTxOnlySpace" presStyleCnt="0"/>
      <dgm:spPr/>
    </dgm:pt>
    <dgm:pt modelId="{4459A3AB-1D9B-4654-AF94-A593CC6DDACD}" type="pres">
      <dgm:prSet presAssocID="{4C815540-B0AB-4160-8BAC-4DEA516887CF}" presName="parTxOnly" presStyleLbl="node1" presStyleIdx="1" presStyleCnt="6">
        <dgm:presLayoutVars>
          <dgm:chMax val="0"/>
          <dgm:chPref val="0"/>
          <dgm:bulletEnabled val="1"/>
        </dgm:presLayoutVars>
      </dgm:prSet>
      <dgm:spPr/>
      <dgm:t>
        <a:bodyPr/>
        <a:lstStyle/>
        <a:p>
          <a:endParaRPr lang="en-US"/>
        </a:p>
      </dgm:t>
    </dgm:pt>
    <dgm:pt modelId="{A93C23F5-E3FB-4C6A-8102-6F6DA7977486}" type="pres">
      <dgm:prSet presAssocID="{AA4A6D8D-2908-49FA-8431-C28B00506FF5}" presName="parTxOnlySpace" presStyleCnt="0"/>
      <dgm:spPr/>
    </dgm:pt>
    <dgm:pt modelId="{FAD25B5C-B418-4E92-A009-BDF06B51F9E2}" type="pres">
      <dgm:prSet presAssocID="{FDB893FD-BBAF-43EF-AFA7-B249BE94FF4F}" presName="parTxOnly" presStyleLbl="node1" presStyleIdx="2" presStyleCnt="6">
        <dgm:presLayoutVars>
          <dgm:chMax val="0"/>
          <dgm:chPref val="0"/>
          <dgm:bulletEnabled val="1"/>
        </dgm:presLayoutVars>
      </dgm:prSet>
      <dgm:spPr/>
      <dgm:t>
        <a:bodyPr/>
        <a:lstStyle/>
        <a:p>
          <a:endParaRPr lang="en-US"/>
        </a:p>
      </dgm:t>
    </dgm:pt>
    <dgm:pt modelId="{F62DA1E9-1AB6-4910-84A1-54DC289E2D9E}" type="pres">
      <dgm:prSet presAssocID="{B4958221-E409-49E8-8056-FE15684916AB}" presName="parTxOnlySpace" presStyleCnt="0"/>
      <dgm:spPr/>
    </dgm:pt>
    <dgm:pt modelId="{F5AF5B70-C123-4F7B-A32D-C88F6D2F0A0A}" type="pres">
      <dgm:prSet presAssocID="{6008D966-9F1C-4805-84A0-A2AF718ED73D}" presName="parTxOnly" presStyleLbl="node1" presStyleIdx="3" presStyleCnt="6">
        <dgm:presLayoutVars>
          <dgm:chMax val="0"/>
          <dgm:chPref val="0"/>
          <dgm:bulletEnabled val="1"/>
        </dgm:presLayoutVars>
      </dgm:prSet>
      <dgm:spPr/>
      <dgm:t>
        <a:bodyPr/>
        <a:lstStyle/>
        <a:p>
          <a:endParaRPr lang="en-US"/>
        </a:p>
      </dgm:t>
    </dgm:pt>
    <dgm:pt modelId="{1A48F7FE-5D13-489C-A066-50DF5C7D7A47}" type="pres">
      <dgm:prSet presAssocID="{43294AFA-04B9-478C-8EF8-899DD4CDE0B6}" presName="parTxOnlySpace" presStyleCnt="0"/>
      <dgm:spPr/>
    </dgm:pt>
    <dgm:pt modelId="{2B2365D8-6D7E-422E-BE4B-8C6067F4A839}" type="pres">
      <dgm:prSet presAssocID="{8DA53BF6-613B-4F3F-9246-7645C105A5A3}" presName="parTxOnly" presStyleLbl="node1" presStyleIdx="4" presStyleCnt="6">
        <dgm:presLayoutVars>
          <dgm:chMax val="0"/>
          <dgm:chPref val="0"/>
          <dgm:bulletEnabled val="1"/>
        </dgm:presLayoutVars>
      </dgm:prSet>
      <dgm:spPr/>
      <dgm:t>
        <a:bodyPr/>
        <a:lstStyle/>
        <a:p>
          <a:endParaRPr lang="en-US"/>
        </a:p>
      </dgm:t>
    </dgm:pt>
    <dgm:pt modelId="{634DBDAD-505C-45F9-A966-B59EC5F9D7F2}" type="pres">
      <dgm:prSet presAssocID="{F1A9189C-7777-48F3-B918-47C37E0CD293}" presName="parTxOnlySpace" presStyleCnt="0"/>
      <dgm:spPr/>
    </dgm:pt>
    <dgm:pt modelId="{AC66E289-A5E7-48ED-A803-080270CF45FD}" type="pres">
      <dgm:prSet presAssocID="{41BD5BA6-CCEC-402A-BFE0-80C2BABB5E12}" presName="parTxOnly" presStyleLbl="node1" presStyleIdx="5" presStyleCnt="6">
        <dgm:presLayoutVars>
          <dgm:chMax val="0"/>
          <dgm:chPref val="0"/>
          <dgm:bulletEnabled val="1"/>
        </dgm:presLayoutVars>
      </dgm:prSet>
      <dgm:spPr/>
      <dgm:t>
        <a:bodyPr/>
        <a:lstStyle/>
        <a:p>
          <a:endParaRPr lang="en-US"/>
        </a:p>
      </dgm:t>
    </dgm:pt>
  </dgm:ptLst>
  <dgm:cxnLst>
    <dgm:cxn modelId="{F3417027-4254-4241-B66A-7435AC966858}" srcId="{DC436CC0-6504-481F-B3AB-BB03E222A8D8}" destId="{4C815540-B0AB-4160-8BAC-4DEA516887CF}" srcOrd="1" destOrd="0" parTransId="{767115DD-A224-4C71-98B6-F60C10464984}" sibTransId="{AA4A6D8D-2908-49FA-8431-C28B00506FF5}"/>
    <dgm:cxn modelId="{7226FEBD-D0CA-4122-B5AE-9F2D3B35ADFF}" type="presOf" srcId="{FDB893FD-BBAF-43EF-AFA7-B249BE94FF4F}" destId="{FAD25B5C-B418-4E92-A009-BDF06B51F9E2}" srcOrd="0" destOrd="0" presId="urn:microsoft.com/office/officeart/2005/8/layout/chevron1"/>
    <dgm:cxn modelId="{5B50AED6-DDA7-4C33-BA2A-D09103559B15}" type="presOf" srcId="{8DA53BF6-613B-4F3F-9246-7645C105A5A3}" destId="{2B2365D8-6D7E-422E-BE4B-8C6067F4A839}" srcOrd="0" destOrd="0" presId="urn:microsoft.com/office/officeart/2005/8/layout/chevron1"/>
    <dgm:cxn modelId="{D06F77A4-7BF3-41B5-916F-A07DF9033488}" srcId="{DC436CC0-6504-481F-B3AB-BB03E222A8D8}" destId="{9A6BF2DB-E8A8-473A-9970-3FA7837DFBA9}" srcOrd="0" destOrd="0" parTransId="{670F33BC-D249-4EED-B68B-63ED5FCF0BD4}" sibTransId="{B63FF161-1676-4BED-99A1-9383BBAB6F08}"/>
    <dgm:cxn modelId="{F61E4A8E-7B19-478B-AF38-8FBABFDA8DE1}" type="presOf" srcId="{6008D966-9F1C-4805-84A0-A2AF718ED73D}" destId="{F5AF5B70-C123-4F7B-A32D-C88F6D2F0A0A}" srcOrd="0" destOrd="0" presId="urn:microsoft.com/office/officeart/2005/8/layout/chevron1"/>
    <dgm:cxn modelId="{6B10F918-0E82-40A4-8438-E0E06EC35CAF}" type="presOf" srcId="{9A6BF2DB-E8A8-473A-9970-3FA7837DFBA9}" destId="{A47014A2-4E2C-49EB-AAAF-0E70267BAFEE}" srcOrd="0" destOrd="0" presId="urn:microsoft.com/office/officeart/2005/8/layout/chevron1"/>
    <dgm:cxn modelId="{E8B95DDD-5105-435B-8D17-C1B820B341BD}" type="presOf" srcId="{41BD5BA6-CCEC-402A-BFE0-80C2BABB5E12}" destId="{AC66E289-A5E7-48ED-A803-080270CF45FD}" srcOrd="0" destOrd="0" presId="urn:microsoft.com/office/officeart/2005/8/layout/chevron1"/>
    <dgm:cxn modelId="{AD50E322-3C14-4C97-A59D-BF8A8E229DCF}" type="presOf" srcId="{DC436CC0-6504-481F-B3AB-BB03E222A8D8}" destId="{B9E33F69-44A0-4A86-A071-C4F6AE892802}" srcOrd="0" destOrd="0" presId="urn:microsoft.com/office/officeart/2005/8/layout/chevron1"/>
    <dgm:cxn modelId="{069FCFC3-81AD-4EC4-9155-88E784A8788F}" srcId="{DC436CC0-6504-481F-B3AB-BB03E222A8D8}" destId="{6008D966-9F1C-4805-84A0-A2AF718ED73D}" srcOrd="3" destOrd="0" parTransId="{11B171C0-E49B-40FD-B05F-B5E6FE4334F0}" sibTransId="{43294AFA-04B9-478C-8EF8-899DD4CDE0B6}"/>
    <dgm:cxn modelId="{84C23B4A-23D0-49A0-902B-6D808BC70B7E}" srcId="{DC436CC0-6504-481F-B3AB-BB03E222A8D8}" destId="{8DA53BF6-613B-4F3F-9246-7645C105A5A3}" srcOrd="4" destOrd="0" parTransId="{E9FB2948-7F69-4142-BC3D-0180799A152F}" sibTransId="{F1A9189C-7777-48F3-B918-47C37E0CD293}"/>
    <dgm:cxn modelId="{B95F2D80-FF94-43FB-874E-3E0867BBB668}" srcId="{DC436CC0-6504-481F-B3AB-BB03E222A8D8}" destId="{41BD5BA6-CCEC-402A-BFE0-80C2BABB5E12}" srcOrd="5" destOrd="0" parTransId="{43FEA4B8-C958-4D8D-968D-903715F2E8B1}" sibTransId="{5CF7B468-B670-4425-ACB0-B6F1F4234196}"/>
    <dgm:cxn modelId="{E205D11F-5BF6-4AAB-AE81-45CDC607725F}" srcId="{DC436CC0-6504-481F-B3AB-BB03E222A8D8}" destId="{FDB893FD-BBAF-43EF-AFA7-B249BE94FF4F}" srcOrd="2" destOrd="0" parTransId="{BE194C09-C737-4EF7-AB37-DAF523E75B93}" sibTransId="{B4958221-E409-49E8-8056-FE15684916AB}"/>
    <dgm:cxn modelId="{B1CE5E90-9500-471D-A535-F0D5D9C3BEEC}" type="presOf" srcId="{4C815540-B0AB-4160-8BAC-4DEA516887CF}" destId="{4459A3AB-1D9B-4654-AF94-A593CC6DDACD}" srcOrd="0" destOrd="0" presId="urn:microsoft.com/office/officeart/2005/8/layout/chevron1"/>
    <dgm:cxn modelId="{5727773A-F18D-490F-8891-849F3E72E1D5}" type="presParOf" srcId="{B9E33F69-44A0-4A86-A071-C4F6AE892802}" destId="{A47014A2-4E2C-49EB-AAAF-0E70267BAFEE}" srcOrd="0" destOrd="0" presId="urn:microsoft.com/office/officeart/2005/8/layout/chevron1"/>
    <dgm:cxn modelId="{AA0DBAAF-49CC-4419-93BD-4BCD50AE3505}" type="presParOf" srcId="{B9E33F69-44A0-4A86-A071-C4F6AE892802}" destId="{0EB45F75-6891-4BCB-82DA-0E6F275DB859}" srcOrd="1" destOrd="0" presId="urn:microsoft.com/office/officeart/2005/8/layout/chevron1"/>
    <dgm:cxn modelId="{2D2F8E31-883B-491F-9523-5DB4701284BF}" type="presParOf" srcId="{B9E33F69-44A0-4A86-A071-C4F6AE892802}" destId="{4459A3AB-1D9B-4654-AF94-A593CC6DDACD}" srcOrd="2" destOrd="0" presId="urn:microsoft.com/office/officeart/2005/8/layout/chevron1"/>
    <dgm:cxn modelId="{7485E999-1ED0-4FF8-B004-2115F1BAEED0}" type="presParOf" srcId="{B9E33F69-44A0-4A86-A071-C4F6AE892802}" destId="{A93C23F5-E3FB-4C6A-8102-6F6DA7977486}" srcOrd="3" destOrd="0" presId="urn:microsoft.com/office/officeart/2005/8/layout/chevron1"/>
    <dgm:cxn modelId="{B15F5A2B-C387-4699-8B40-E06E1956168D}" type="presParOf" srcId="{B9E33F69-44A0-4A86-A071-C4F6AE892802}" destId="{FAD25B5C-B418-4E92-A009-BDF06B51F9E2}" srcOrd="4" destOrd="0" presId="urn:microsoft.com/office/officeart/2005/8/layout/chevron1"/>
    <dgm:cxn modelId="{F4EC6133-4923-4D67-B2B6-B5C8BC34837E}" type="presParOf" srcId="{B9E33F69-44A0-4A86-A071-C4F6AE892802}" destId="{F62DA1E9-1AB6-4910-84A1-54DC289E2D9E}" srcOrd="5" destOrd="0" presId="urn:microsoft.com/office/officeart/2005/8/layout/chevron1"/>
    <dgm:cxn modelId="{A9C09036-1E13-45C9-9784-2AB39855D8EF}" type="presParOf" srcId="{B9E33F69-44A0-4A86-A071-C4F6AE892802}" destId="{F5AF5B70-C123-4F7B-A32D-C88F6D2F0A0A}" srcOrd="6" destOrd="0" presId="urn:microsoft.com/office/officeart/2005/8/layout/chevron1"/>
    <dgm:cxn modelId="{5A35CD1E-96A2-4405-AF19-3A5F887E4F9D}" type="presParOf" srcId="{B9E33F69-44A0-4A86-A071-C4F6AE892802}" destId="{1A48F7FE-5D13-489C-A066-50DF5C7D7A47}" srcOrd="7" destOrd="0" presId="urn:microsoft.com/office/officeart/2005/8/layout/chevron1"/>
    <dgm:cxn modelId="{1F9B4322-CC3F-4A1E-8E7C-280FB48742B6}" type="presParOf" srcId="{B9E33F69-44A0-4A86-A071-C4F6AE892802}" destId="{2B2365D8-6D7E-422E-BE4B-8C6067F4A839}" srcOrd="8" destOrd="0" presId="urn:microsoft.com/office/officeart/2005/8/layout/chevron1"/>
    <dgm:cxn modelId="{260EBB97-1D97-4E3A-8EB2-6C88C84BD356}" type="presParOf" srcId="{B9E33F69-44A0-4A86-A071-C4F6AE892802}" destId="{634DBDAD-505C-45F9-A966-B59EC5F9D7F2}" srcOrd="9" destOrd="0" presId="urn:microsoft.com/office/officeart/2005/8/layout/chevron1"/>
    <dgm:cxn modelId="{A11466D2-0D65-410F-B4EC-CFD5D4E687FA}" type="presParOf" srcId="{B9E33F69-44A0-4A86-A071-C4F6AE892802}" destId="{AC66E289-A5E7-48ED-A803-080270CF45FD}" srcOrd="10" destOrd="0" presId="urn:microsoft.com/office/officeart/2005/8/layout/chevron1"/>
  </dgm:cxnLst>
  <dgm:bg/>
  <dgm:whole/>
  <dgm:extLst>
    <a:ext uri="http://schemas.microsoft.com/office/drawing/2008/diagram">
      <dsp:dataModelExt xmlns:dsp="http://schemas.microsoft.com/office/drawing/2008/diagram" xmlns=""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DC436CC0-6504-481F-B3AB-BB03E222A8D8}" type="doc">
      <dgm:prSet loTypeId="urn:microsoft.com/office/officeart/2005/8/layout/chevron1" loCatId="process" qsTypeId="urn:microsoft.com/office/officeart/2005/8/quickstyle/simple1" qsCatId="simple" csTypeId="urn:microsoft.com/office/officeart/2005/8/colors/accent1_2" csCatId="accent1" phldr="1"/>
      <dgm:spPr/>
    </dgm:pt>
    <dgm:pt modelId="{9A6BF2DB-E8A8-473A-9970-3FA7837DFBA9}">
      <dgm:prSet phldrT="[Text]"/>
      <dgm:spPr/>
      <dgm:t>
        <a:bodyPr/>
        <a:lstStyle/>
        <a:p>
          <a:r>
            <a:rPr lang="en-US" dirty="0" smtClean="0"/>
            <a:t>Patient Registration</a:t>
          </a:r>
          <a:endParaRPr lang="en-US" dirty="0"/>
        </a:p>
      </dgm:t>
    </dgm:pt>
    <dgm:pt modelId="{670F33BC-D249-4EED-B68B-63ED5FCF0BD4}" type="parTrans" cxnId="{D06F77A4-7BF3-41B5-916F-A07DF9033488}">
      <dgm:prSet/>
      <dgm:spPr/>
      <dgm:t>
        <a:bodyPr/>
        <a:lstStyle/>
        <a:p>
          <a:endParaRPr lang="en-US"/>
        </a:p>
      </dgm:t>
    </dgm:pt>
    <dgm:pt modelId="{B63FF161-1676-4BED-99A1-9383BBAB6F08}" type="sibTrans" cxnId="{D06F77A4-7BF3-41B5-916F-A07DF9033488}">
      <dgm:prSet/>
      <dgm:spPr/>
      <dgm:t>
        <a:bodyPr/>
        <a:lstStyle/>
        <a:p>
          <a:endParaRPr lang="en-US"/>
        </a:p>
      </dgm:t>
    </dgm:pt>
    <dgm:pt modelId="{4C815540-B0AB-4160-8BAC-4DEA516887CF}">
      <dgm:prSet phldrT="[Text]"/>
      <dgm:spPr/>
      <dgm:t>
        <a:bodyPr/>
        <a:lstStyle/>
        <a:p>
          <a:r>
            <a:rPr lang="en-US" dirty="0" smtClean="0"/>
            <a:t>Assessment</a:t>
          </a:r>
          <a:endParaRPr lang="en-US" dirty="0"/>
        </a:p>
      </dgm:t>
    </dgm:pt>
    <dgm:pt modelId="{767115DD-A224-4C71-98B6-F60C10464984}" type="parTrans" cxnId="{F3417027-4254-4241-B66A-7435AC966858}">
      <dgm:prSet/>
      <dgm:spPr/>
      <dgm:t>
        <a:bodyPr/>
        <a:lstStyle/>
        <a:p>
          <a:endParaRPr lang="en-US"/>
        </a:p>
      </dgm:t>
    </dgm:pt>
    <dgm:pt modelId="{AA4A6D8D-2908-49FA-8431-C28B00506FF5}" type="sibTrans" cxnId="{F3417027-4254-4241-B66A-7435AC966858}">
      <dgm:prSet/>
      <dgm:spPr/>
      <dgm:t>
        <a:bodyPr/>
        <a:lstStyle/>
        <a:p>
          <a:endParaRPr lang="en-US"/>
        </a:p>
      </dgm:t>
    </dgm:pt>
    <dgm:pt modelId="{FDB893FD-BBAF-43EF-AFA7-B249BE94FF4F}">
      <dgm:prSet phldrT="[Text]"/>
      <dgm:spPr/>
      <dgm:t>
        <a:bodyPr/>
        <a:lstStyle/>
        <a:p>
          <a:r>
            <a:rPr lang="en-US" dirty="0" smtClean="0"/>
            <a:t>Testing</a:t>
          </a:r>
          <a:endParaRPr lang="en-US" dirty="0"/>
        </a:p>
      </dgm:t>
    </dgm:pt>
    <dgm:pt modelId="{BE194C09-C737-4EF7-AB37-DAF523E75B93}" type="parTrans" cxnId="{E205D11F-5BF6-4AAB-AE81-45CDC607725F}">
      <dgm:prSet/>
      <dgm:spPr/>
      <dgm:t>
        <a:bodyPr/>
        <a:lstStyle/>
        <a:p>
          <a:endParaRPr lang="en-US"/>
        </a:p>
      </dgm:t>
    </dgm:pt>
    <dgm:pt modelId="{B4958221-E409-49E8-8056-FE15684916AB}" type="sibTrans" cxnId="{E205D11F-5BF6-4AAB-AE81-45CDC607725F}">
      <dgm:prSet/>
      <dgm:spPr/>
      <dgm:t>
        <a:bodyPr/>
        <a:lstStyle/>
        <a:p>
          <a:endParaRPr lang="en-US"/>
        </a:p>
      </dgm:t>
    </dgm:pt>
    <dgm:pt modelId="{6008D966-9F1C-4805-84A0-A2AF718ED73D}">
      <dgm:prSet phldrT="[Text]"/>
      <dgm:spPr/>
      <dgm:t>
        <a:bodyPr/>
        <a:lstStyle/>
        <a:p>
          <a:r>
            <a:rPr lang="en-US" dirty="0" smtClean="0"/>
            <a:t>Diagnosis &amp;Care Plan</a:t>
          </a:r>
          <a:endParaRPr lang="en-US" dirty="0"/>
        </a:p>
      </dgm:t>
    </dgm:pt>
    <dgm:pt modelId="{11B171C0-E49B-40FD-B05F-B5E6FE4334F0}" type="parTrans" cxnId="{069FCFC3-81AD-4EC4-9155-88E784A8788F}">
      <dgm:prSet/>
      <dgm:spPr/>
      <dgm:t>
        <a:bodyPr/>
        <a:lstStyle/>
        <a:p>
          <a:endParaRPr lang="en-US"/>
        </a:p>
      </dgm:t>
    </dgm:pt>
    <dgm:pt modelId="{43294AFA-04B9-478C-8EF8-899DD4CDE0B6}" type="sibTrans" cxnId="{069FCFC3-81AD-4EC4-9155-88E784A8788F}">
      <dgm:prSet/>
      <dgm:spPr/>
      <dgm:t>
        <a:bodyPr/>
        <a:lstStyle/>
        <a:p>
          <a:endParaRPr lang="en-US"/>
        </a:p>
      </dgm:t>
    </dgm:pt>
    <dgm:pt modelId="{8DA53BF6-613B-4F3F-9246-7645C105A5A3}">
      <dgm:prSet phldrT="[Text]"/>
      <dgm:spPr/>
      <dgm:t>
        <a:bodyPr/>
        <a:lstStyle/>
        <a:p>
          <a:r>
            <a:rPr lang="en-US" dirty="0" smtClean="0"/>
            <a:t>Prescription</a:t>
          </a:r>
          <a:endParaRPr lang="en-US" dirty="0"/>
        </a:p>
      </dgm:t>
    </dgm:pt>
    <dgm:pt modelId="{E9FB2948-7F69-4142-BC3D-0180799A152F}" type="parTrans" cxnId="{84C23B4A-23D0-49A0-902B-6D808BC70B7E}">
      <dgm:prSet/>
      <dgm:spPr/>
      <dgm:t>
        <a:bodyPr/>
        <a:lstStyle/>
        <a:p>
          <a:endParaRPr lang="en-US"/>
        </a:p>
      </dgm:t>
    </dgm:pt>
    <dgm:pt modelId="{F1A9189C-7777-48F3-B918-47C37E0CD293}" type="sibTrans" cxnId="{84C23B4A-23D0-49A0-902B-6D808BC70B7E}">
      <dgm:prSet/>
      <dgm:spPr/>
      <dgm:t>
        <a:bodyPr/>
        <a:lstStyle/>
        <a:p>
          <a:endParaRPr lang="en-US"/>
        </a:p>
      </dgm:t>
    </dgm:pt>
    <dgm:pt modelId="{41BD5BA6-CCEC-402A-BFE0-80C2BABB5E12}">
      <dgm:prSet phldrT="[Text]"/>
      <dgm:spPr/>
      <dgm:t>
        <a:bodyPr/>
        <a:lstStyle/>
        <a:p>
          <a:r>
            <a:rPr lang="en-US" dirty="0" smtClean="0"/>
            <a:t>Discharge</a:t>
          </a:r>
          <a:endParaRPr lang="en-US" dirty="0"/>
        </a:p>
      </dgm:t>
    </dgm:pt>
    <dgm:pt modelId="{43FEA4B8-C958-4D8D-968D-903715F2E8B1}" type="parTrans" cxnId="{B95F2D80-FF94-43FB-874E-3E0867BBB668}">
      <dgm:prSet/>
      <dgm:spPr/>
      <dgm:t>
        <a:bodyPr/>
        <a:lstStyle/>
        <a:p>
          <a:endParaRPr lang="en-US"/>
        </a:p>
      </dgm:t>
    </dgm:pt>
    <dgm:pt modelId="{5CF7B468-B670-4425-ACB0-B6F1F4234196}" type="sibTrans" cxnId="{B95F2D80-FF94-43FB-874E-3E0867BBB668}">
      <dgm:prSet/>
      <dgm:spPr/>
      <dgm:t>
        <a:bodyPr/>
        <a:lstStyle/>
        <a:p>
          <a:endParaRPr lang="en-US"/>
        </a:p>
      </dgm:t>
    </dgm:pt>
    <dgm:pt modelId="{B9E33F69-44A0-4A86-A071-C4F6AE892802}" type="pres">
      <dgm:prSet presAssocID="{DC436CC0-6504-481F-B3AB-BB03E222A8D8}" presName="Name0" presStyleCnt="0">
        <dgm:presLayoutVars>
          <dgm:dir/>
          <dgm:animLvl val="lvl"/>
          <dgm:resizeHandles val="exact"/>
        </dgm:presLayoutVars>
      </dgm:prSet>
      <dgm:spPr/>
    </dgm:pt>
    <dgm:pt modelId="{A47014A2-4E2C-49EB-AAAF-0E70267BAFEE}" type="pres">
      <dgm:prSet presAssocID="{9A6BF2DB-E8A8-473A-9970-3FA7837DFBA9}" presName="parTxOnly" presStyleLbl="node1" presStyleIdx="0" presStyleCnt="6">
        <dgm:presLayoutVars>
          <dgm:chMax val="0"/>
          <dgm:chPref val="0"/>
          <dgm:bulletEnabled val="1"/>
        </dgm:presLayoutVars>
      </dgm:prSet>
      <dgm:spPr/>
      <dgm:t>
        <a:bodyPr/>
        <a:lstStyle/>
        <a:p>
          <a:endParaRPr lang="en-US"/>
        </a:p>
      </dgm:t>
    </dgm:pt>
    <dgm:pt modelId="{0EB45F75-6891-4BCB-82DA-0E6F275DB859}" type="pres">
      <dgm:prSet presAssocID="{B63FF161-1676-4BED-99A1-9383BBAB6F08}" presName="parTxOnlySpace" presStyleCnt="0"/>
      <dgm:spPr/>
    </dgm:pt>
    <dgm:pt modelId="{4459A3AB-1D9B-4654-AF94-A593CC6DDACD}" type="pres">
      <dgm:prSet presAssocID="{4C815540-B0AB-4160-8BAC-4DEA516887CF}" presName="parTxOnly" presStyleLbl="node1" presStyleIdx="1" presStyleCnt="6">
        <dgm:presLayoutVars>
          <dgm:chMax val="0"/>
          <dgm:chPref val="0"/>
          <dgm:bulletEnabled val="1"/>
        </dgm:presLayoutVars>
      </dgm:prSet>
      <dgm:spPr/>
      <dgm:t>
        <a:bodyPr/>
        <a:lstStyle/>
        <a:p>
          <a:endParaRPr lang="en-US"/>
        </a:p>
      </dgm:t>
    </dgm:pt>
    <dgm:pt modelId="{A93C23F5-E3FB-4C6A-8102-6F6DA7977486}" type="pres">
      <dgm:prSet presAssocID="{AA4A6D8D-2908-49FA-8431-C28B00506FF5}" presName="parTxOnlySpace" presStyleCnt="0"/>
      <dgm:spPr/>
    </dgm:pt>
    <dgm:pt modelId="{FAD25B5C-B418-4E92-A009-BDF06B51F9E2}" type="pres">
      <dgm:prSet presAssocID="{FDB893FD-BBAF-43EF-AFA7-B249BE94FF4F}" presName="parTxOnly" presStyleLbl="node1" presStyleIdx="2" presStyleCnt="6">
        <dgm:presLayoutVars>
          <dgm:chMax val="0"/>
          <dgm:chPref val="0"/>
          <dgm:bulletEnabled val="1"/>
        </dgm:presLayoutVars>
      </dgm:prSet>
      <dgm:spPr/>
      <dgm:t>
        <a:bodyPr/>
        <a:lstStyle/>
        <a:p>
          <a:endParaRPr lang="en-US"/>
        </a:p>
      </dgm:t>
    </dgm:pt>
    <dgm:pt modelId="{F62DA1E9-1AB6-4910-84A1-54DC289E2D9E}" type="pres">
      <dgm:prSet presAssocID="{B4958221-E409-49E8-8056-FE15684916AB}" presName="parTxOnlySpace" presStyleCnt="0"/>
      <dgm:spPr/>
    </dgm:pt>
    <dgm:pt modelId="{F5AF5B70-C123-4F7B-A32D-C88F6D2F0A0A}" type="pres">
      <dgm:prSet presAssocID="{6008D966-9F1C-4805-84A0-A2AF718ED73D}" presName="parTxOnly" presStyleLbl="node1" presStyleIdx="3" presStyleCnt="6">
        <dgm:presLayoutVars>
          <dgm:chMax val="0"/>
          <dgm:chPref val="0"/>
          <dgm:bulletEnabled val="1"/>
        </dgm:presLayoutVars>
      </dgm:prSet>
      <dgm:spPr/>
      <dgm:t>
        <a:bodyPr/>
        <a:lstStyle/>
        <a:p>
          <a:endParaRPr lang="en-US"/>
        </a:p>
      </dgm:t>
    </dgm:pt>
    <dgm:pt modelId="{1A48F7FE-5D13-489C-A066-50DF5C7D7A47}" type="pres">
      <dgm:prSet presAssocID="{43294AFA-04B9-478C-8EF8-899DD4CDE0B6}" presName="parTxOnlySpace" presStyleCnt="0"/>
      <dgm:spPr/>
    </dgm:pt>
    <dgm:pt modelId="{2B2365D8-6D7E-422E-BE4B-8C6067F4A839}" type="pres">
      <dgm:prSet presAssocID="{8DA53BF6-613B-4F3F-9246-7645C105A5A3}" presName="parTxOnly" presStyleLbl="node1" presStyleIdx="4" presStyleCnt="6">
        <dgm:presLayoutVars>
          <dgm:chMax val="0"/>
          <dgm:chPref val="0"/>
          <dgm:bulletEnabled val="1"/>
        </dgm:presLayoutVars>
      </dgm:prSet>
      <dgm:spPr/>
      <dgm:t>
        <a:bodyPr/>
        <a:lstStyle/>
        <a:p>
          <a:endParaRPr lang="en-US"/>
        </a:p>
      </dgm:t>
    </dgm:pt>
    <dgm:pt modelId="{634DBDAD-505C-45F9-A966-B59EC5F9D7F2}" type="pres">
      <dgm:prSet presAssocID="{F1A9189C-7777-48F3-B918-47C37E0CD293}" presName="parTxOnlySpace" presStyleCnt="0"/>
      <dgm:spPr/>
    </dgm:pt>
    <dgm:pt modelId="{AC66E289-A5E7-48ED-A803-080270CF45FD}" type="pres">
      <dgm:prSet presAssocID="{41BD5BA6-CCEC-402A-BFE0-80C2BABB5E12}" presName="parTxOnly" presStyleLbl="node1" presStyleIdx="5" presStyleCnt="6">
        <dgm:presLayoutVars>
          <dgm:chMax val="0"/>
          <dgm:chPref val="0"/>
          <dgm:bulletEnabled val="1"/>
        </dgm:presLayoutVars>
      </dgm:prSet>
      <dgm:spPr/>
      <dgm:t>
        <a:bodyPr/>
        <a:lstStyle/>
        <a:p>
          <a:endParaRPr lang="en-US"/>
        </a:p>
      </dgm:t>
    </dgm:pt>
  </dgm:ptLst>
  <dgm:cxnLst>
    <dgm:cxn modelId="{F3417027-4254-4241-B66A-7435AC966858}" srcId="{DC436CC0-6504-481F-B3AB-BB03E222A8D8}" destId="{4C815540-B0AB-4160-8BAC-4DEA516887CF}" srcOrd="1" destOrd="0" parTransId="{767115DD-A224-4C71-98B6-F60C10464984}" sibTransId="{AA4A6D8D-2908-49FA-8431-C28B00506FF5}"/>
    <dgm:cxn modelId="{7703EE76-B624-4F17-904D-F28E02488C54}" type="presOf" srcId="{DC436CC0-6504-481F-B3AB-BB03E222A8D8}" destId="{B9E33F69-44A0-4A86-A071-C4F6AE892802}" srcOrd="0" destOrd="0" presId="urn:microsoft.com/office/officeart/2005/8/layout/chevron1"/>
    <dgm:cxn modelId="{1B9CDCC7-D756-4A87-BA6F-9C9B2E429F42}" type="presOf" srcId="{6008D966-9F1C-4805-84A0-A2AF718ED73D}" destId="{F5AF5B70-C123-4F7B-A32D-C88F6D2F0A0A}" srcOrd="0" destOrd="0" presId="urn:microsoft.com/office/officeart/2005/8/layout/chevron1"/>
    <dgm:cxn modelId="{922FF2F8-6304-4EF8-A7DC-1C64A840B351}" type="presOf" srcId="{8DA53BF6-613B-4F3F-9246-7645C105A5A3}" destId="{2B2365D8-6D7E-422E-BE4B-8C6067F4A839}" srcOrd="0" destOrd="0" presId="urn:microsoft.com/office/officeart/2005/8/layout/chevron1"/>
    <dgm:cxn modelId="{9AA49F7E-93AE-4A40-9B3E-F76EE9D3D8DF}" type="presOf" srcId="{4C815540-B0AB-4160-8BAC-4DEA516887CF}" destId="{4459A3AB-1D9B-4654-AF94-A593CC6DDACD}" srcOrd="0" destOrd="0" presId="urn:microsoft.com/office/officeart/2005/8/layout/chevron1"/>
    <dgm:cxn modelId="{D06F77A4-7BF3-41B5-916F-A07DF9033488}" srcId="{DC436CC0-6504-481F-B3AB-BB03E222A8D8}" destId="{9A6BF2DB-E8A8-473A-9970-3FA7837DFBA9}" srcOrd="0" destOrd="0" parTransId="{670F33BC-D249-4EED-B68B-63ED5FCF0BD4}" sibTransId="{B63FF161-1676-4BED-99A1-9383BBAB6F08}"/>
    <dgm:cxn modelId="{CD69245D-14DB-440D-A254-07D1248CFAD3}" type="presOf" srcId="{FDB893FD-BBAF-43EF-AFA7-B249BE94FF4F}" destId="{FAD25B5C-B418-4E92-A009-BDF06B51F9E2}" srcOrd="0" destOrd="0" presId="urn:microsoft.com/office/officeart/2005/8/layout/chevron1"/>
    <dgm:cxn modelId="{E251C378-A963-4C8C-9827-0C7B1A6EC2CD}" type="presOf" srcId="{9A6BF2DB-E8A8-473A-9970-3FA7837DFBA9}" destId="{A47014A2-4E2C-49EB-AAAF-0E70267BAFEE}" srcOrd="0" destOrd="0" presId="urn:microsoft.com/office/officeart/2005/8/layout/chevron1"/>
    <dgm:cxn modelId="{DEECCBEC-1BCD-4F5C-B7D6-3A19360443EF}" type="presOf" srcId="{41BD5BA6-CCEC-402A-BFE0-80C2BABB5E12}" destId="{AC66E289-A5E7-48ED-A803-080270CF45FD}" srcOrd="0" destOrd="0" presId="urn:microsoft.com/office/officeart/2005/8/layout/chevron1"/>
    <dgm:cxn modelId="{069FCFC3-81AD-4EC4-9155-88E784A8788F}" srcId="{DC436CC0-6504-481F-B3AB-BB03E222A8D8}" destId="{6008D966-9F1C-4805-84A0-A2AF718ED73D}" srcOrd="3" destOrd="0" parTransId="{11B171C0-E49B-40FD-B05F-B5E6FE4334F0}" sibTransId="{43294AFA-04B9-478C-8EF8-899DD4CDE0B6}"/>
    <dgm:cxn modelId="{84C23B4A-23D0-49A0-902B-6D808BC70B7E}" srcId="{DC436CC0-6504-481F-B3AB-BB03E222A8D8}" destId="{8DA53BF6-613B-4F3F-9246-7645C105A5A3}" srcOrd="4" destOrd="0" parTransId="{E9FB2948-7F69-4142-BC3D-0180799A152F}" sibTransId="{F1A9189C-7777-48F3-B918-47C37E0CD293}"/>
    <dgm:cxn modelId="{B95F2D80-FF94-43FB-874E-3E0867BBB668}" srcId="{DC436CC0-6504-481F-B3AB-BB03E222A8D8}" destId="{41BD5BA6-CCEC-402A-BFE0-80C2BABB5E12}" srcOrd="5" destOrd="0" parTransId="{43FEA4B8-C958-4D8D-968D-903715F2E8B1}" sibTransId="{5CF7B468-B670-4425-ACB0-B6F1F4234196}"/>
    <dgm:cxn modelId="{E205D11F-5BF6-4AAB-AE81-45CDC607725F}" srcId="{DC436CC0-6504-481F-B3AB-BB03E222A8D8}" destId="{FDB893FD-BBAF-43EF-AFA7-B249BE94FF4F}" srcOrd="2" destOrd="0" parTransId="{BE194C09-C737-4EF7-AB37-DAF523E75B93}" sibTransId="{B4958221-E409-49E8-8056-FE15684916AB}"/>
    <dgm:cxn modelId="{220E027F-D6F5-41F5-A8D6-02E190A5FE98}" type="presParOf" srcId="{B9E33F69-44A0-4A86-A071-C4F6AE892802}" destId="{A47014A2-4E2C-49EB-AAAF-0E70267BAFEE}" srcOrd="0" destOrd="0" presId="urn:microsoft.com/office/officeart/2005/8/layout/chevron1"/>
    <dgm:cxn modelId="{DE67E7EE-919D-410B-B420-B5127EAF485B}" type="presParOf" srcId="{B9E33F69-44A0-4A86-A071-C4F6AE892802}" destId="{0EB45F75-6891-4BCB-82DA-0E6F275DB859}" srcOrd="1" destOrd="0" presId="urn:microsoft.com/office/officeart/2005/8/layout/chevron1"/>
    <dgm:cxn modelId="{7662D22C-3FA6-440B-9FDC-1220547B41E0}" type="presParOf" srcId="{B9E33F69-44A0-4A86-A071-C4F6AE892802}" destId="{4459A3AB-1D9B-4654-AF94-A593CC6DDACD}" srcOrd="2" destOrd="0" presId="urn:microsoft.com/office/officeart/2005/8/layout/chevron1"/>
    <dgm:cxn modelId="{5DE2036F-AEC2-4ADD-AD80-2504BEF2A25F}" type="presParOf" srcId="{B9E33F69-44A0-4A86-A071-C4F6AE892802}" destId="{A93C23F5-E3FB-4C6A-8102-6F6DA7977486}" srcOrd="3" destOrd="0" presId="urn:microsoft.com/office/officeart/2005/8/layout/chevron1"/>
    <dgm:cxn modelId="{6A898501-D660-4B0A-97A6-4EA87A17250E}" type="presParOf" srcId="{B9E33F69-44A0-4A86-A071-C4F6AE892802}" destId="{FAD25B5C-B418-4E92-A009-BDF06B51F9E2}" srcOrd="4" destOrd="0" presId="urn:microsoft.com/office/officeart/2005/8/layout/chevron1"/>
    <dgm:cxn modelId="{E47195A4-D8B8-4912-BBCB-24E10724C937}" type="presParOf" srcId="{B9E33F69-44A0-4A86-A071-C4F6AE892802}" destId="{F62DA1E9-1AB6-4910-84A1-54DC289E2D9E}" srcOrd="5" destOrd="0" presId="urn:microsoft.com/office/officeart/2005/8/layout/chevron1"/>
    <dgm:cxn modelId="{98B7E3F5-C0A0-4782-8E7D-888C03771C7B}" type="presParOf" srcId="{B9E33F69-44A0-4A86-A071-C4F6AE892802}" destId="{F5AF5B70-C123-4F7B-A32D-C88F6D2F0A0A}" srcOrd="6" destOrd="0" presId="urn:microsoft.com/office/officeart/2005/8/layout/chevron1"/>
    <dgm:cxn modelId="{EABC41C6-88F8-405B-AF11-42EF4B49D5A3}" type="presParOf" srcId="{B9E33F69-44A0-4A86-A071-C4F6AE892802}" destId="{1A48F7FE-5D13-489C-A066-50DF5C7D7A47}" srcOrd="7" destOrd="0" presId="urn:microsoft.com/office/officeart/2005/8/layout/chevron1"/>
    <dgm:cxn modelId="{F3C16A7F-514D-4426-A941-9DED4D5E44B8}" type="presParOf" srcId="{B9E33F69-44A0-4A86-A071-C4F6AE892802}" destId="{2B2365D8-6D7E-422E-BE4B-8C6067F4A839}" srcOrd="8" destOrd="0" presId="urn:microsoft.com/office/officeart/2005/8/layout/chevron1"/>
    <dgm:cxn modelId="{C3C851C8-E936-44BF-BC0C-20D63B96B906}" type="presParOf" srcId="{B9E33F69-44A0-4A86-A071-C4F6AE892802}" destId="{634DBDAD-505C-45F9-A966-B59EC5F9D7F2}" srcOrd="9" destOrd="0" presId="urn:microsoft.com/office/officeart/2005/8/layout/chevron1"/>
    <dgm:cxn modelId="{FE21F280-93A0-4CD6-866C-874FAC9BBA8A}" type="presParOf" srcId="{B9E33F69-44A0-4A86-A071-C4F6AE892802}" destId="{AC66E289-A5E7-48ED-A803-080270CF45FD}" srcOrd="10" destOrd="0" presId="urn:microsoft.com/office/officeart/2005/8/layout/chevron1"/>
  </dgm:cxnLst>
  <dgm:bg/>
  <dgm:whole/>
  <dgm:extLst>
    <a:ext uri="http://schemas.microsoft.com/office/drawing/2008/diagram">
      <dsp:dataModelExt xmlns:dsp="http://schemas.microsoft.com/office/drawing/2008/diagram" xmlns="" relId="rId18"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A47014A2-4E2C-49EB-AAAF-0E70267BAFEE}">
      <dsp:nvSpPr>
        <dsp:cNvPr id="0" name=""/>
        <dsp:cNvSpPr/>
      </dsp:nvSpPr>
      <dsp:spPr>
        <a:xfrm>
          <a:off x="3609" y="112484"/>
          <a:ext cx="1342578" cy="537031"/>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US" sz="1100" kern="1200" dirty="0" smtClean="0"/>
            <a:t>Patient Registration</a:t>
          </a:r>
          <a:endParaRPr lang="en-US" sz="1100" kern="1200" dirty="0"/>
        </a:p>
      </dsp:txBody>
      <dsp:txXfrm>
        <a:off x="3609" y="112484"/>
        <a:ext cx="1342578" cy="537031"/>
      </dsp:txXfrm>
    </dsp:sp>
    <dsp:sp modelId="{4459A3AB-1D9B-4654-AF94-A593CC6DDACD}">
      <dsp:nvSpPr>
        <dsp:cNvPr id="0" name=""/>
        <dsp:cNvSpPr/>
      </dsp:nvSpPr>
      <dsp:spPr>
        <a:xfrm>
          <a:off x="1211929" y="112484"/>
          <a:ext cx="1342578" cy="537031"/>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US" sz="1100" kern="1200" dirty="0" smtClean="0"/>
            <a:t>Assessment</a:t>
          </a:r>
          <a:endParaRPr lang="en-US" sz="1100" kern="1200" dirty="0"/>
        </a:p>
      </dsp:txBody>
      <dsp:txXfrm>
        <a:off x="1211929" y="112484"/>
        <a:ext cx="1342578" cy="537031"/>
      </dsp:txXfrm>
    </dsp:sp>
    <dsp:sp modelId="{FAD25B5C-B418-4E92-A009-BDF06B51F9E2}">
      <dsp:nvSpPr>
        <dsp:cNvPr id="0" name=""/>
        <dsp:cNvSpPr/>
      </dsp:nvSpPr>
      <dsp:spPr>
        <a:xfrm>
          <a:off x="2420250" y="112484"/>
          <a:ext cx="1342578" cy="537031"/>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US" sz="1100" kern="1200" dirty="0" smtClean="0"/>
            <a:t>Testing</a:t>
          </a:r>
          <a:endParaRPr lang="en-US" sz="1100" kern="1200" dirty="0"/>
        </a:p>
      </dsp:txBody>
      <dsp:txXfrm>
        <a:off x="2420250" y="112484"/>
        <a:ext cx="1342578" cy="537031"/>
      </dsp:txXfrm>
    </dsp:sp>
    <dsp:sp modelId="{F5AF5B70-C123-4F7B-A32D-C88F6D2F0A0A}">
      <dsp:nvSpPr>
        <dsp:cNvPr id="0" name=""/>
        <dsp:cNvSpPr/>
      </dsp:nvSpPr>
      <dsp:spPr>
        <a:xfrm>
          <a:off x="3628571" y="112484"/>
          <a:ext cx="1342578" cy="537031"/>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US" sz="1100" kern="1200" dirty="0" smtClean="0"/>
            <a:t>Diagnosis &amp;Care Plan</a:t>
          </a:r>
          <a:endParaRPr lang="en-US" sz="1100" kern="1200" dirty="0"/>
        </a:p>
      </dsp:txBody>
      <dsp:txXfrm>
        <a:off x="3628571" y="112484"/>
        <a:ext cx="1342578" cy="537031"/>
      </dsp:txXfrm>
    </dsp:sp>
    <dsp:sp modelId="{2B2365D8-6D7E-422E-BE4B-8C6067F4A839}">
      <dsp:nvSpPr>
        <dsp:cNvPr id="0" name=""/>
        <dsp:cNvSpPr/>
      </dsp:nvSpPr>
      <dsp:spPr>
        <a:xfrm>
          <a:off x="4836891" y="112484"/>
          <a:ext cx="1342578" cy="537031"/>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US" sz="1100" kern="1200" dirty="0" smtClean="0"/>
            <a:t>Prescription</a:t>
          </a:r>
          <a:endParaRPr lang="en-US" sz="1100" kern="1200" dirty="0"/>
        </a:p>
      </dsp:txBody>
      <dsp:txXfrm>
        <a:off x="4836891" y="112484"/>
        <a:ext cx="1342578" cy="537031"/>
      </dsp:txXfrm>
    </dsp:sp>
    <dsp:sp modelId="{AC66E289-A5E7-48ED-A803-080270CF45FD}">
      <dsp:nvSpPr>
        <dsp:cNvPr id="0" name=""/>
        <dsp:cNvSpPr/>
      </dsp:nvSpPr>
      <dsp:spPr>
        <a:xfrm>
          <a:off x="6045212" y="112484"/>
          <a:ext cx="1342578" cy="537031"/>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US" sz="1100" kern="1200" dirty="0" smtClean="0"/>
            <a:t>Discharge</a:t>
          </a:r>
          <a:endParaRPr lang="en-US" sz="1100" kern="1200" dirty="0"/>
        </a:p>
      </dsp:txBody>
      <dsp:txXfrm>
        <a:off x="6045212" y="112484"/>
        <a:ext cx="1342578" cy="537031"/>
      </dsp:txXfrm>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2.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1B0097-7BD8-46E8-8AB7-9ACBA6AB8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1315</Words>
  <Characters>7497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AHIMA</Company>
  <LinksUpToDate>false</LinksUpToDate>
  <CharactersWithSpaces>8795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orlovaA</dc:creator>
  <cp:lastModifiedBy>Harry Rhodes</cp:lastModifiedBy>
  <cp:revision>2</cp:revision>
  <dcterms:created xsi:type="dcterms:W3CDTF">2015-03-17T20:25:00Z</dcterms:created>
  <dcterms:modified xsi:type="dcterms:W3CDTF">2015-03-17T20:25:00Z</dcterms:modified>
</cp:coreProperties>
</file>